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001" w:rsidRDefault="006D4001" w:rsidP="00B95241">
      <w:pPr>
        <w:jc w:val="center"/>
        <w:rPr>
          <w:rFonts w:ascii="標楷體" w:eastAsia="標楷體" w:hAnsi="標楷體"/>
          <w:b/>
          <w:sz w:val="40"/>
          <w:szCs w:val="40"/>
        </w:rPr>
      </w:pPr>
      <w:r w:rsidRPr="00B95241">
        <w:rPr>
          <w:rFonts w:ascii="標楷體" w:eastAsia="標楷體" w:hAnsi="標楷體" w:hint="eastAsia"/>
          <w:b/>
          <w:sz w:val="40"/>
          <w:szCs w:val="40"/>
        </w:rPr>
        <w:t>農漁會信用部建築貸款控</w:t>
      </w:r>
      <w:r>
        <w:rPr>
          <w:rFonts w:ascii="標楷體" w:eastAsia="標楷體" w:hAnsi="標楷體" w:hint="eastAsia"/>
          <w:b/>
          <w:sz w:val="40"/>
          <w:szCs w:val="40"/>
        </w:rPr>
        <w:t>管</w:t>
      </w:r>
      <w:r w:rsidRPr="00B95241">
        <w:rPr>
          <w:rFonts w:ascii="標楷體" w:eastAsia="標楷體" w:hAnsi="標楷體" w:hint="eastAsia"/>
          <w:b/>
          <w:sz w:val="40"/>
          <w:szCs w:val="40"/>
        </w:rPr>
        <w:t>措施</w:t>
      </w:r>
    </w:p>
    <w:p w:rsidR="006D4001" w:rsidRPr="007C61B9" w:rsidRDefault="006D4001" w:rsidP="00B95241">
      <w:pPr>
        <w:jc w:val="center"/>
        <w:rPr>
          <w:rFonts w:ascii="標楷體" w:eastAsia="標楷體" w:hAnsi="標楷體"/>
          <w:sz w:val="22"/>
        </w:rPr>
      </w:pPr>
      <w:r>
        <w:rPr>
          <w:rFonts w:ascii="標楷體" w:eastAsia="標楷體" w:hAnsi="標楷體"/>
          <w:b/>
          <w:sz w:val="40"/>
          <w:szCs w:val="40"/>
        </w:rPr>
        <w:t xml:space="preserve">                           </w:t>
      </w:r>
      <w:r w:rsidRPr="00DB5101">
        <w:rPr>
          <w:rFonts w:ascii="標楷體" w:eastAsia="標楷體" w:hAnsi="標楷體" w:hint="eastAsia"/>
          <w:sz w:val="22"/>
        </w:rPr>
        <w:t>修訂日期：</w:t>
      </w:r>
      <w:r w:rsidRPr="007C61B9">
        <w:rPr>
          <w:rFonts w:ascii="標楷體" w:eastAsia="標楷體" w:hAnsi="標楷體"/>
          <w:sz w:val="22"/>
        </w:rPr>
        <w:t>104</w:t>
      </w:r>
      <w:r w:rsidRPr="007C61B9">
        <w:rPr>
          <w:rFonts w:ascii="標楷體" w:eastAsia="標楷體" w:hAnsi="標楷體" w:hint="eastAsia"/>
          <w:sz w:val="22"/>
        </w:rPr>
        <w:t>年</w:t>
      </w:r>
      <w:r w:rsidRPr="007C61B9">
        <w:rPr>
          <w:rFonts w:ascii="標楷體" w:eastAsia="標楷體" w:hAnsi="標楷體"/>
          <w:sz w:val="22"/>
        </w:rPr>
        <w:t>8</w:t>
      </w:r>
      <w:r w:rsidRPr="007C61B9">
        <w:rPr>
          <w:rFonts w:ascii="標楷體" w:eastAsia="標楷體" w:hAnsi="標楷體" w:hint="eastAsia"/>
          <w:sz w:val="22"/>
        </w:rPr>
        <w:t>月</w:t>
      </w:r>
      <w:r>
        <w:rPr>
          <w:rFonts w:ascii="標楷體" w:eastAsia="標楷體" w:hAnsi="標楷體"/>
          <w:sz w:val="22"/>
        </w:rPr>
        <w:t xml:space="preserve">  </w:t>
      </w:r>
      <w:r w:rsidRPr="007C61B9">
        <w:rPr>
          <w:rFonts w:ascii="標楷體" w:eastAsia="標楷體" w:hAnsi="標楷體" w:hint="eastAsia"/>
          <w:sz w:val="22"/>
        </w:rPr>
        <w:t>日</w:t>
      </w:r>
    </w:p>
    <w:p w:rsidR="006D4001" w:rsidRDefault="006D4001" w:rsidP="00ED715B">
      <w:pPr>
        <w:tabs>
          <w:tab w:val="num" w:pos="1260"/>
        </w:tabs>
        <w:spacing w:line="500" w:lineRule="exact"/>
        <w:ind w:left="31680" w:hangingChars="505" w:firstLine="31680"/>
        <w:rPr>
          <w:rFonts w:ascii="標楷體" w:eastAsia="標楷體" w:hAnsi="標楷體"/>
          <w:sz w:val="32"/>
          <w:szCs w:val="32"/>
        </w:rPr>
      </w:pPr>
      <w:r>
        <w:rPr>
          <w:rFonts w:ascii="標楷體" w:eastAsia="標楷體" w:hAnsi="標楷體" w:hint="eastAsia"/>
          <w:sz w:val="32"/>
          <w:szCs w:val="32"/>
        </w:rPr>
        <w:t>一、</w:t>
      </w:r>
      <w:r w:rsidRPr="00A92F13">
        <w:rPr>
          <w:rFonts w:ascii="標楷體" w:eastAsia="標楷體" w:hAnsi="標楷體" w:hint="eastAsia"/>
          <w:sz w:val="32"/>
          <w:szCs w:val="32"/>
        </w:rPr>
        <w:t>建築貸款</w:t>
      </w:r>
      <w:r>
        <w:rPr>
          <w:rFonts w:ascii="標楷體" w:eastAsia="標楷體" w:hAnsi="標楷體" w:hint="eastAsia"/>
          <w:sz w:val="32"/>
          <w:szCs w:val="32"/>
        </w:rPr>
        <w:t>範圍</w:t>
      </w:r>
      <w:r w:rsidRPr="00A92F13">
        <w:rPr>
          <w:rFonts w:ascii="標楷體" w:eastAsia="標楷體" w:hAnsi="標楷體" w:hint="eastAsia"/>
          <w:sz w:val="32"/>
          <w:szCs w:val="32"/>
        </w:rPr>
        <w:t>如下</w:t>
      </w:r>
      <w:r>
        <w:rPr>
          <w:rFonts w:ascii="標楷體" w:eastAsia="標楷體" w:hAnsi="標楷體" w:hint="eastAsia"/>
          <w:sz w:val="32"/>
          <w:szCs w:val="32"/>
        </w:rPr>
        <w:t>：</w:t>
      </w:r>
    </w:p>
    <w:p w:rsidR="006D4001" w:rsidRDefault="006D4001" w:rsidP="00ED715B">
      <w:pPr>
        <w:tabs>
          <w:tab w:val="num" w:pos="1260"/>
        </w:tabs>
        <w:spacing w:line="500" w:lineRule="exact"/>
        <w:ind w:leftChars="-259" w:left="31680" w:hangingChars="505" w:firstLine="31680"/>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（一）</w:t>
      </w:r>
      <w:r w:rsidRPr="00DF6D3A">
        <w:rPr>
          <w:rFonts w:ascii="標楷體" w:eastAsia="標楷體" w:hAnsi="標楷體" w:hint="eastAsia"/>
          <w:sz w:val="32"/>
          <w:szCs w:val="32"/>
        </w:rPr>
        <w:t>建築業貸款：係指對以房屋興建投資為主要業務之企業承做之購地、興建房屋及週轉金貸款，但房屋興建屬自用部分則不包含之。</w:t>
      </w:r>
    </w:p>
    <w:p w:rsidR="006D4001" w:rsidRDefault="006D4001" w:rsidP="00ED715B">
      <w:pPr>
        <w:tabs>
          <w:tab w:val="num" w:pos="1260"/>
        </w:tabs>
        <w:spacing w:line="500" w:lineRule="exact"/>
        <w:ind w:leftChars="-259" w:left="31680" w:hangingChars="505" w:firstLine="31680"/>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（二）</w:t>
      </w:r>
      <w:r w:rsidRPr="00DF6D3A">
        <w:rPr>
          <w:rFonts w:ascii="標楷體" w:eastAsia="標楷體" w:hAnsi="標楷體" w:hint="eastAsia"/>
          <w:sz w:val="32"/>
          <w:szCs w:val="32"/>
        </w:rPr>
        <w:t>對其他企業建築貸款：係指對建築業以外之企業因承做房屋興建投資所辦理之購地、興建房屋及週轉金貸款，但房屋興建屬自用部分則不包含之。</w:t>
      </w:r>
    </w:p>
    <w:p w:rsidR="006D4001" w:rsidRPr="00E565DA" w:rsidRDefault="006D4001" w:rsidP="00ED715B">
      <w:pPr>
        <w:tabs>
          <w:tab w:val="num" w:pos="1260"/>
        </w:tabs>
        <w:spacing w:line="500" w:lineRule="exact"/>
        <w:ind w:leftChars="-259" w:left="31680" w:hangingChars="505" w:firstLine="31680"/>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（三）</w:t>
      </w:r>
      <w:r w:rsidRPr="00DF6D3A">
        <w:rPr>
          <w:rFonts w:ascii="標楷體" w:eastAsia="標楷體" w:hAnsi="標楷體" w:hint="eastAsia"/>
          <w:sz w:val="32"/>
          <w:szCs w:val="32"/>
        </w:rPr>
        <w:t>對個人戶建築貸款：係指對從事建築投資之個人所辦理之購地、興建房屋及週轉金貸款，但房屋興建屬自用部分則不包含之。</w:t>
      </w:r>
    </w:p>
    <w:p w:rsidR="006D4001" w:rsidRPr="001B7C04" w:rsidRDefault="006D4001" w:rsidP="00ED715B">
      <w:pPr>
        <w:spacing w:line="500" w:lineRule="exact"/>
        <w:ind w:left="31680" w:hangingChars="487" w:firstLine="31680"/>
        <w:rPr>
          <w:rFonts w:ascii="標楷體" w:eastAsia="標楷體" w:hAnsi="標楷體"/>
          <w:sz w:val="32"/>
          <w:szCs w:val="32"/>
        </w:rPr>
      </w:pPr>
      <w:r>
        <w:rPr>
          <w:rFonts w:ascii="標楷體" w:eastAsia="標楷體" w:hAnsi="標楷體" w:hint="eastAsia"/>
          <w:sz w:val="32"/>
          <w:szCs w:val="32"/>
        </w:rPr>
        <w:t>二、</w:t>
      </w:r>
      <w:r w:rsidRPr="001B7C04">
        <w:rPr>
          <w:rFonts w:ascii="標楷體" w:eastAsia="標楷體" w:hAnsi="標楷體" w:hint="eastAsia"/>
          <w:sz w:val="32"/>
          <w:szCs w:val="32"/>
        </w:rPr>
        <w:t>控管對象：全體農漁會信用部</w:t>
      </w:r>
    </w:p>
    <w:p w:rsidR="006D4001" w:rsidRDefault="006D4001" w:rsidP="00ED715B">
      <w:pPr>
        <w:spacing w:line="500" w:lineRule="exact"/>
        <w:ind w:left="31680" w:hangingChars="505" w:firstLine="31680"/>
        <w:rPr>
          <w:rFonts w:ascii="標楷體" w:eastAsia="標楷體" w:hAnsi="標楷體"/>
          <w:sz w:val="32"/>
          <w:szCs w:val="32"/>
        </w:rPr>
      </w:pPr>
      <w:r>
        <w:rPr>
          <w:rFonts w:ascii="標楷體" w:eastAsia="標楷體" w:hAnsi="標楷體" w:hint="eastAsia"/>
          <w:sz w:val="32"/>
          <w:szCs w:val="32"/>
        </w:rPr>
        <w:t>三、</w:t>
      </w:r>
      <w:r w:rsidRPr="00A346E4">
        <w:rPr>
          <w:rFonts w:ascii="標楷體" w:eastAsia="標楷體" w:hAnsi="標楷體" w:hint="eastAsia"/>
          <w:sz w:val="32"/>
          <w:szCs w:val="32"/>
        </w:rPr>
        <w:t>控管措施：</w:t>
      </w:r>
    </w:p>
    <w:p w:rsidR="006D4001" w:rsidRDefault="006D4001" w:rsidP="00ED715B">
      <w:pPr>
        <w:spacing w:line="500" w:lineRule="exact"/>
        <w:ind w:left="31680" w:hangingChars="505" w:firstLine="31680"/>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（一）</w:t>
      </w:r>
      <w:r w:rsidRPr="00A346E4">
        <w:rPr>
          <w:rFonts w:ascii="標楷體" w:eastAsia="標楷體" w:hAnsi="標楷體" w:hint="eastAsia"/>
          <w:sz w:val="32"/>
          <w:szCs w:val="32"/>
        </w:rPr>
        <w:t>辦理建築貸款限額：</w:t>
      </w:r>
    </w:p>
    <w:p w:rsidR="006D4001" w:rsidRDefault="006D4001" w:rsidP="00ED715B">
      <w:pPr>
        <w:spacing w:line="500" w:lineRule="exact"/>
        <w:ind w:leftChars="-82" w:left="31680" w:hangingChars="505" w:firstLine="31680"/>
        <w:rPr>
          <w:rFonts w:ascii="標楷體" w:eastAsia="標楷體" w:hAnsi="標楷體"/>
          <w:sz w:val="32"/>
          <w:szCs w:val="32"/>
        </w:rPr>
      </w:pPr>
      <w:r>
        <w:rPr>
          <w:rFonts w:ascii="標楷體" w:eastAsia="標楷體" w:hAnsi="標楷體"/>
          <w:sz w:val="32"/>
          <w:szCs w:val="32"/>
        </w:rPr>
        <w:t xml:space="preserve">          </w:t>
      </w:r>
      <w:r w:rsidRPr="00A346E4">
        <w:rPr>
          <w:rFonts w:ascii="標楷體" w:eastAsia="標楷體" w:hAnsi="標楷體" w:hint="eastAsia"/>
          <w:sz w:val="32"/>
          <w:szCs w:val="32"/>
        </w:rPr>
        <w:t>以不逾信用部上年度決算淨值之</w:t>
      </w:r>
      <w:r w:rsidRPr="00A346E4">
        <w:rPr>
          <w:rFonts w:ascii="標楷體" w:eastAsia="標楷體" w:hAnsi="標楷體"/>
          <w:sz w:val="32"/>
          <w:szCs w:val="32"/>
        </w:rPr>
        <w:t>200%</w:t>
      </w:r>
      <w:r w:rsidRPr="00A346E4">
        <w:rPr>
          <w:rFonts w:ascii="標楷體" w:eastAsia="標楷體" w:hAnsi="標楷體" w:hint="eastAsia"/>
          <w:sz w:val="32"/>
          <w:szCs w:val="32"/>
        </w:rPr>
        <w:t>為原則</w:t>
      </w:r>
      <w:r>
        <w:rPr>
          <w:rFonts w:ascii="標楷體" w:eastAsia="標楷體" w:hAnsi="標楷體" w:hint="eastAsia"/>
          <w:sz w:val="32"/>
          <w:szCs w:val="32"/>
        </w:rPr>
        <w:t>，</w:t>
      </w:r>
      <w:r w:rsidRPr="00442C39">
        <w:rPr>
          <w:rFonts w:ascii="標楷體" w:eastAsia="標楷體" w:hAnsi="標楷體" w:hint="eastAsia"/>
          <w:sz w:val="32"/>
          <w:szCs w:val="32"/>
        </w:rPr>
        <w:t>已</w:t>
      </w:r>
      <w:r>
        <w:rPr>
          <w:rFonts w:ascii="標楷體" w:eastAsia="標楷體" w:hAnsi="標楷體"/>
          <w:sz w:val="32"/>
          <w:szCs w:val="32"/>
        </w:rPr>
        <w:t xml:space="preserve"> </w:t>
      </w:r>
      <w:r w:rsidRPr="00442C39">
        <w:rPr>
          <w:rFonts w:ascii="標楷體" w:eastAsia="標楷體" w:hAnsi="標楷體" w:hint="eastAsia"/>
          <w:sz w:val="32"/>
          <w:szCs w:val="32"/>
        </w:rPr>
        <w:t>超逾者，應</w:t>
      </w:r>
      <w:r>
        <w:rPr>
          <w:rFonts w:ascii="標楷體" w:eastAsia="標楷體" w:hAnsi="標楷體" w:hint="eastAsia"/>
          <w:sz w:val="32"/>
          <w:szCs w:val="32"/>
        </w:rPr>
        <w:t>逐步</w:t>
      </w:r>
      <w:r w:rsidRPr="00442C39">
        <w:rPr>
          <w:rFonts w:ascii="標楷體" w:eastAsia="標楷體" w:hAnsi="標楷體" w:hint="eastAsia"/>
          <w:sz w:val="32"/>
          <w:szCs w:val="32"/>
        </w:rPr>
        <w:t>調</w:t>
      </w:r>
      <w:r>
        <w:rPr>
          <w:rFonts w:ascii="標楷體" w:eastAsia="標楷體" w:hAnsi="標楷體" w:hint="eastAsia"/>
          <w:sz w:val="32"/>
          <w:szCs w:val="32"/>
        </w:rPr>
        <w:t>降</w:t>
      </w:r>
      <w:r w:rsidRPr="00A346E4">
        <w:rPr>
          <w:rFonts w:ascii="標楷體" w:eastAsia="標楷體" w:hAnsi="標楷體" w:hint="eastAsia"/>
          <w:sz w:val="32"/>
          <w:szCs w:val="32"/>
        </w:rPr>
        <w:t>。</w:t>
      </w:r>
      <w:r>
        <w:rPr>
          <w:rFonts w:ascii="標楷體" w:eastAsia="標楷體" w:hAnsi="標楷體"/>
          <w:sz w:val="32"/>
          <w:szCs w:val="32"/>
        </w:rPr>
        <w:t xml:space="preserve"> </w:t>
      </w:r>
    </w:p>
    <w:p w:rsidR="006D4001" w:rsidRPr="00783FA2" w:rsidRDefault="006D4001" w:rsidP="00ED715B">
      <w:pPr>
        <w:spacing w:line="500" w:lineRule="exact"/>
        <w:ind w:leftChars="178" w:left="31680" w:hangingChars="219" w:firstLine="31680"/>
        <w:rPr>
          <w:rFonts w:ascii="標楷體" w:eastAsia="標楷體" w:hAnsi="標楷體"/>
          <w:sz w:val="32"/>
          <w:szCs w:val="32"/>
        </w:rPr>
      </w:pPr>
      <w:r>
        <w:rPr>
          <w:rFonts w:ascii="標楷體" w:eastAsia="標楷體" w:hAnsi="標楷體" w:hint="eastAsia"/>
          <w:sz w:val="32"/>
          <w:szCs w:val="32"/>
        </w:rPr>
        <w:t>（二）</w:t>
      </w:r>
      <w:r w:rsidRPr="00783FA2">
        <w:rPr>
          <w:rFonts w:ascii="標楷體" w:eastAsia="標楷體" w:hAnsi="標楷體" w:hint="eastAsia"/>
          <w:sz w:val="32"/>
          <w:szCs w:val="32"/>
        </w:rPr>
        <w:t>增提備抵呆帳：</w:t>
      </w:r>
    </w:p>
    <w:p w:rsidR="006D4001" w:rsidRPr="00783FA2" w:rsidRDefault="006D4001" w:rsidP="00551D22">
      <w:pPr>
        <w:spacing w:afterLines="50" w:line="500" w:lineRule="exact"/>
        <w:ind w:left="1277" w:hanging="284"/>
        <w:rPr>
          <w:rFonts w:ascii="標楷體" w:eastAsia="標楷體" w:hAnsi="標楷體"/>
          <w:sz w:val="32"/>
          <w:szCs w:val="32"/>
        </w:rPr>
      </w:pPr>
      <w:r w:rsidRPr="00783FA2">
        <w:rPr>
          <w:rFonts w:ascii="標楷體" w:eastAsia="標楷體" w:hAnsi="標楷體"/>
          <w:sz w:val="32"/>
          <w:szCs w:val="32"/>
        </w:rPr>
        <w:t>1.</w:t>
      </w:r>
      <w:r w:rsidRPr="00783FA2">
        <w:rPr>
          <w:rFonts w:ascii="標楷體" w:eastAsia="標楷體" w:hAnsi="標楷體" w:hint="eastAsia"/>
          <w:sz w:val="32"/>
          <w:szCs w:val="32"/>
        </w:rPr>
        <w:t>自</w:t>
      </w:r>
      <w:r w:rsidRPr="00783FA2">
        <w:rPr>
          <w:rFonts w:ascii="標楷體" w:eastAsia="標楷體" w:hAnsi="標楷體"/>
          <w:sz w:val="32"/>
          <w:szCs w:val="32"/>
        </w:rPr>
        <w:t>104</w:t>
      </w:r>
      <w:r w:rsidRPr="00783FA2">
        <w:rPr>
          <w:rFonts w:ascii="標楷體" w:eastAsia="標楷體" w:hAnsi="標楷體" w:hint="eastAsia"/>
          <w:sz w:val="32"/>
          <w:szCs w:val="32"/>
        </w:rPr>
        <w:t>年</w:t>
      </w:r>
      <w:r w:rsidRPr="00783FA2">
        <w:rPr>
          <w:rFonts w:ascii="標楷體" w:eastAsia="標楷體" w:hAnsi="標楷體"/>
          <w:sz w:val="32"/>
          <w:szCs w:val="32"/>
        </w:rPr>
        <w:t>9</w:t>
      </w:r>
      <w:r w:rsidRPr="00783FA2">
        <w:rPr>
          <w:rFonts w:ascii="標楷體" w:eastAsia="標楷體" w:hAnsi="標楷體" w:hint="eastAsia"/>
          <w:sz w:val="32"/>
          <w:szCs w:val="32"/>
        </w:rPr>
        <w:t>月底起，就每月建築貸款之增貸金額</w:t>
      </w:r>
      <w:r w:rsidRPr="00783FA2">
        <w:rPr>
          <w:rFonts w:ascii="標楷體" w:eastAsia="標楷體" w:hAnsi="標楷體"/>
          <w:sz w:val="32"/>
          <w:szCs w:val="32"/>
        </w:rPr>
        <w:t xml:space="preserve"> </w:t>
      </w:r>
      <w:r w:rsidRPr="00783FA2">
        <w:rPr>
          <w:rFonts w:ascii="標楷體" w:eastAsia="標楷體" w:hAnsi="標楷體" w:hint="eastAsia"/>
          <w:sz w:val="32"/>
          <w:szCs w:val="32"/>
        </w:rPr>
        <w:t>（撥貸金額扣除收回金額），於次月</w:t>
      </w:r>
      <w:r w:rsidRPr="00783FA2">
        <w:rPr>
          <w:rFonts w:ascii="標楷體" w:eastAsia="標楷體" w:hAnsi="標楷體"/>
          <w:sz w:val="32"/>
          <w:szCs w:val="32"/>
        </w:rPr>
        <w:t>10</w:t>
      </w:r>
      <w:r w:rsidRPr="00783FA2">
        <w:rPr>
          <w:rFonts w:ascii="標楷體" w:eastAsia="標楷體" w:hAnsi="標楷體" w:hint="eastAsia"/>
          <w:sz w:val="32"/>
          <w:szCs w:val="32"/>
        </w:rPr>
        <w:t>日前至少增提備抵呆帳如下：</w:t>
      </w:r>
    </w:p>
    <w:tbl>
      <w:tblPr>
        <w:tblW w:w="0" w:type="auto"/>
        <w:tblInd w:w="1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77"/>
        <w:gridCol w:w="2194"/>
      </w:tblGrid>
      <w:tr w:rsidR="006D4001" w:rsidRPr="00AA221B" w:rsidTr="008A112E">
        <w:tc>
          <w:tcPr>
            <w:tcW w:w="4377" w:type="dxa"/>
          </w:tcPr>
          <w:p w:rsidR="006D4001" w:rsidRPr="00AA221B" w:rsidRDefault="006D4001" w:rsidP="00BA6B64">
            <w:pPr>
              <w:spacing w:line="500" w:lineRule="exact"/>
              <w:rPr>
                <w:rFonts w:ascii="標楷體" w:eastAsia="標楷體" w:hAnsi="標楷體"/>
                <w:spacing w:val="-20"/>
                <w:sz w:val="28"/>
                <w:szCs w:val="28"/>
              </w:rPr>
            </w:pPr>
            <w:r w:rsidRPr="00AA221B">
              <w:rPr>
                <w:rFonts w:ascii="標楷體" w:eastAsia="標楷體" w:hAnsi="標楷體" w:hint="eastAsia"/>
                <w:spacing w:val="-20"/>
                <w:sz w:val="28"/>
                <w:szCs w:val="28"/>
              </w:rPr>
              <w:t>建築貸款占信用部上年度決算淨值</w:t>
            </w:r>
          </w:p>
        </w:tc>
        <w:tc>
          <w:tcPr>
            <w:tcW w:w="2194" w:type="dxa"/>
          </w:tcPr>
          <w:p w:rsidR="006D4001" w:rsidRPr="00AA221B" w:rsidRDefault="006D4001" w:rsidP="00BA6B64">
            <w:pPr>
              <w:spacing w:line="500" w:lineRule="exact"/>
              <w:rPr>
                <w:rFonts w:ascii="標楷體" w:eastAsia="標楷體" w:hAnsi="標楷體"/>
                <w:spacing w:val="-20"/>
                <w:sz w:val="28"/>
                <w:szCs w:val="28"/>
              </w:rPr>
            </w:pPr>
            <w:r w:rsidRPr="00AA221B">
              <w:rPr>
                <w:rFonts w:ascii="標楷體" w:eastAsia="標楷體" w:hAnsi="標楷體" w:hint="eastAsia"/>
                <w:spacing w:val="-20"/>
                <w:sz w:val="28"/>
                <w:szCs w:val="28"/>
              </w:rPr>
              <w:t>提列備抵呆帳比率</w:t>
            </w:r>
          </w:p>
        </w:tc>
      </w:tr>
      <w:tr w:rsidR="006D4001" w:rsidRPr="00AA221B" w:rsidTr="008A112E">
        <w:tc>
          <w:tcPr>
            <w:tcW w:w="4377" w:type="dxa"/>
          </w:tcPr>
          <w:p w:rsidR="006D4001" w:rsidRPr="00AA221B" w:rsidRDefault="006D4001" w:rsidP="00BA6B64">
            <w:pPr>
              <w:spacing w:line="500" w:lineRule="exact"/>
              <w:rPr>
                <w:rFonts w:ascii="標楷體" w:eastAsia="標楷體" w:hAnsi="標楷體"/>
                <w:sz w:val="28"/>
                <w:szCs w:val="28"/>
              </w:rPr>
            </w:pPr>
            <w:r w:rsidRPr="00AA221B">
              <w:rPr>
                <w:rFonts w:ascii="標楷體" w:eastAsia="標楷體" w:hAnsi="標楷體" w:hint="eastAsia"/>
                <w:sz w:val="28"/>
                <w:szCs w:val="28"/>
              </w:rPr>
              <w:t>未逾</w:t>
            </w:r>
            <w:r w:rsidRPr="00AA221B">
              <w:rPr>
                <w:rFonts w:ascii="標楷體" w:eastAsia="標楷體" w:hAnsi="標楷體"/>
                <w:sz w:val="28"/>
                <w:szCs w:val="28"/>
              </w:rPr>
              <w:t>100%</w:t>
            </w:r>
          </w:p>
        </w:tc>
        <w:tc>
          <w:tcPr>
            <w:tcW w:w="2194" w:type="dxa"/>
          </w:tcPr>
          <w:p w:rsidR="006D4001" w:rsidRPr="00AA221B" w:rsidRDefault="006D4001" w:rsidP="006D4001">
            <w:pPr>
              <w:spacing w:line="500" w:lineRule="exact"/>
              <w:ind w:leftChars="250" w:left="31680" w:hangingChars="233" w:firstLine="31680"/>
              <w:rPr>
                <w:rFonts w:ascii="標楷體" w:eastAsia="標楷體" w:hAnsi="標楷體"/>
                <w:sz w:val="28"/>
                <w:szCs w:val="28"/>
              </w:rPr>
            </w:pPr>
            <w:r w:rsidRPr="00AA221B">
              <w:rPr>
                <w:rFonts w:ascii="標楷體" w:eastAsia="標楷體" w:hAnsi="標楷體"/>
                <w:sz w:val="28"/>
                <w:szCs w:val="28"/>
              </w:rPr>
              <w:t xml:space="preserve">   1.5%</w:t>
            </w:r>
          </w:p>
        </w:tc>
      </w:tr>
      <w:tr w:rsidR="006D4001" w:rsidRPr="00AA221B" w:rsidTr="008A112E">
        <w:tc>
          <w:tcPr>
            <w:tcW w:w="4377" w:type="dxa"/>
          </w:tcPr>
          <w:p w:rsidR="006D4001" w:rsidRPr="00AA221B" w:rsidRDefault="006D4001" w:rsidP="00BA6B64">
            <w:pPr>
              <w:spacing w:line="500" w:lineRule="exact"/>
              <w:rPr>
                <w:rFonts w:ascii="標楷體" w:eastAsia="標楷體" w:hAnsi="標楷體"/>
                <w:sz w:val="28"/>
                <w:szCs w:val="28"/>
              </w:rPr>
            </w:pPr>
            <w:r w:rsidRPr="00AA221B">
              <w:rPr>
                <w:rFonts w:ascii="標楷體" w:eastAsia="標楷體" w:hAnsi="標楷體"/>
                <w:sz w:val="28"/>
                <w:szCs w:val="28"/>
              </w:rPr>
              <w:t>100%</w:t>
            </w:r>
            <w:r w:rsidRPr="00AA221B">
              <w:rPr>
                <w:rFonts w:ascii="標楷體" w:eastAsia="標楷體" w:hAnsi="標楷體" w:hint="eastAsia"/>
                <w:sz w:val="28"/>
                <w:szCs w:val="28"/>
              </w:rPr>
              <w:t>（含）至未逾</w:t>
            </w:r>
            <w:r w:rsidRPr="00AA221B">
              <w:rPr>
                <w:rFonts w:ascii="標楷體" w:eastAsia="標楷體" w:hAnsi="標楷體"/>
                <w:sz w:val="28"/>
                <w:szCs w:val="28"/>
              </w:rPr>
              <w:t>200%</w:t>
            </w:r>
          </w:p>
        </w:tc>
        <w:tc>
          <w:tcPr>
            <w:tcW w:w="2194" w:type="dxa"/>
          </w:tcPr>
          <w:p w:rsidR="006D4001" w:rsidRPr="00AA221B" w:rsidRDefault="006D4001" w:rsidP="006D4001">
            <w:pPr>
              <w:spacing w:line="500" w:lineRule="exact"/>
              <w:ind w:leftChars="250" w:left="31680" w:hangingChars="233" w:firstLine="31680"/>
              <w:rPr>
                <w:rFonts w:ascii="標楷體" w:eastAsia="標楷體" w:hAnsi="標楷體"/>
                <w:sz w:val="28"/>
                <w:szCs w:val="28"/>
              </w:rPr>
            </w:pPr>
            <w:r w:rsidRPr="00AA221B">
              <w:rPr>
                <w:rFonts w:ascii="標楷體" w:eastAsia="標楷體" w:hAnsi="標楷體"/>
                <w:sz w:val="28"/>
                <w:szCs w:val="28"/>
              </w:rPr>
              <w:t xml:space="preserve">   2%</w:t>
            </w:r>
          </w:p>
        </w:tc>
      </w:tr>
      <w:tr w:rsidR="006D4001" w:rsidRPr="00AA221B" w:rsidTr="008A112E">
        <w:tc>
          <w:tcPr>
            <w:tcW w:w="4377" w:type="dxa"/>
          </w:tcPr>
          <w:p w:rsidR="006D4001" w:rsidRPr="00AA221B" w:rsidRDefault="006D4001" w:rsidP="00BA6B64">
            <w:pPr>
              <w:spacing w:line="500" w:lineRule="exact"/>
              <w:rPr>
                <w:rFonts w:ascii="標楷體" w:eastAsia="標楷體" w:hAnsi="標楷體"/>
                <w:sz w:val="28"/>
                <w:szCs w:val="28"/>
              </w:rPr>
            </w:pPr>
            <w:r w:rsidRPr="00AA221B">
              <w:rPr>
                <w:rFonts w:ascii="標楷體" w:eastAsia="標楷體" w:hAnsi="標楷體"/>
                <w:sz w:val="28"/>
                <w:szCs w:val="28"/>
              </w:rPr>
              <w:t>200%</w:t>
            </w:r>
            <w:r w:rsidRPr="00AA221B">
              <w:rPr>
                <w:rFonts w:ascii="標楷體" w:eastAsia="標楷體" w:hAnsi="標楷體" w:hint="eastAsia"/>
                <w:sz w:val="28"/>
                <w:szCs w:val="28"/>
              </w:rPr>
              <w:t>（含）以上</w:t>
            </w:r>
          </w:p>
        </w:tc>
        <w:tc>
          <w:tcPr>
            <w:tcW w:w="2194" w:type="dxa"/>
          </w:tcPr>
          <w:p w:rsidR="006D4001" w:rsidRPr="00AA221B" w:rsidRDefault="006D4001" w:rsidP="006D4001">
            <w:pPr>
              <w:spacing w:line="500" w:lineRule="exact"/>
              <w:ind w:leftChars="250" w:left="31680" w:hangingChars="233" w:firstLine="31680"/>
              <w:rPr>
                <w:rFonts w:ascii="標楷體" w:eastAsia="標楷體" w:hAnsi="標楷體"/>
                <w:sz w:val="28"/>
                <w:szCs w:val="28"/>
              </w:rPr>
            </w:pPr>
            <w:r w:rsidRPr="00AA221B">
              <w:rPr>
                <w:rFonts w:ascii="標楷體" w:eastAsia="標楷體" w:hAnsi="標楷體"/>
                <w:sz w:val="28"/>
                <w:szCs w:val="28"/>
              </w:rPr>
              <w:t xml:space="preserve">   3%</w:t>
            </w:r>
          </w:p>
        </w:tc>
      </w:tr>
    </w:tbl>
    <w:p w:rsidR="006D4001" w:rsidRPr="00783FA2" w:rsidRDefault="006D4001" w:rsidP="006D4001">
      <w:pPr>
        <w:tabs>
          <w:tab w:val="left" w:pos="1442"/>
          <w:tab w:val="left" w:pos="1568"/>
        </w:tabs>
        <w:spacing w:beforeLines="50" w:line="500" w:lineRule="exact"/>
        <w:ind w:leftChars="412" w:left="31680" w:hangingChars="133" w:firstLine="31680"/>
        <w:rPr>
          <w:rFonts w:ascii="標楷體" w:eastAsia="標楷體" w:hAnsi="標楷體"/>
          <w:sz w:val="32"/>
          <w:szCs w:val="32"/>
        </w:rPr>
      </w:pPr>
      <w:r w:rsidRPr="00783FA2">
        <w:rPr>
          <w:rFonts w:ascii="標楷體" w:eastAsia="標楷體" w:hAnsi="標楷體"/>
          <w:sz w:val="32"/>
          <w:szCs w:val="32"/>
        </w:rPr>
        <w:t>2.</w:t>
      </w:r>
      <w:r w:rsidRPr="00783FA2">
        <w:rPr>
          <w:rFonts w:ascii="標楷體" w:eastAsia="標楷體" w:hAnsi="標楷體" w:hint="eastAsia"/>
          <w:sz w:val="32"/>
          <w:szCs w:val="32"/>
        </w:rPr>
        <w:t>就建築貸款所提列之備抵呆帳，應專款作為建築貸款案件轉銷呆帳，建築貸款之備抵呆帳比率已達</w:t>
      </w:r>
      <w:r w:rsidRPr="00783FA2">
        <w:rPr>
          <w:rFonts w:ascii="標楷體" w:eastAsia="標楷體" w:hAnsi="標楷體"/>
          <w:sz w:val="32"/>
          <w:szCs w:val="32"/>
        </w:rPr>
        <w:t>3%</w:t>
      </w:r>
      <w:r w:rsidRPr="00783FA2">
        <w:rPr>
          <w:rFonts w:ascii="標楷體" w:eastAsia="標楷體" w:hAnsi="標楷體" w:hint="eastAsia"/>
          <w:sz w:val="32"/>
          <w:szCs w:val="32"/>
        </w:rPr>
        <w:t>者，始得免再增提建築貸款備抵呆帳。</w:t>
      </w:r>
    </w:p>
    <w:p w:rsidR="006D4001" w:rsidRPr="00783FA2" w:rsidRDefault="006D4001" w:rsidP="00783FA2">
      <w:pPr>
        <w:tabs>
          <w:tab w:val="left" w:pos="1276"/>
        </w:tabs>
        <w:spacing w:line="500" w:lineRule="exact"/>
        <w:ind w:left="1276" w:hanging="992"/>
        <w:rPr>
          <w:rFonts w:ascii="標楷體" w:eastAsia="標楷體" w:hAnsi="標楷體"/>
          <w:sz w:val="32"/>
          <w:szCs w:val="32"/>
        </w:rPr>
      </w:pPr>
      <w:r w:rsidRPr="00783FA2">
        <w:rPr>
          <w:rFonts w:ascii="標楷體" w:eastAsia="標楷體" w:hAnsi="標楷體" w:hint="eastAsia"/>
          <w:sz w:val="32"/>
          <w:szCs w:val="32"/>
        </w:rPr>
        <w:t>（三）貸款成數：</w:t>
      </w:r>
      <w:r w:rsidRPr="00ED715B">
        <w:rPr>
          <w:rFonts w:ascii="標楷體" w:eastAsia="標楷體" w:hAnsi="標楷體" w:hint="eastAsia"/>
          <w:sz w:val="32"/>
          <w:szCs w:val="32"/>
        </w:rPr>
        <w:t>查中央銀行現行土地抵押貸款之信用管制措施，對於金融機構承作借款人以都市計畫劃定之住宅區或商業區土地為擔保之貸款，均應檢附該土地具體興建計畫，貸款成數最高</w:t>
      </w:r>
      <w:r w:rsidRPr="00ED715B">
        <w:rPr>
          <w:rFonts w:ascii="標楷體" w:eastAsia="標楷體" w:hAnsi="標楷體"/>
          <w:sz w:val="32"/>
          <w:szCs w:val="32"/>
        </w:rPr>
        <w:t>6.5</w:t>
      </w:r>
      <w:r w:rsidRPr="00ED715B">
        <w:rPr>
          <w:rFonts w:ascii="標楷體" w:eastAsia="標楷體" w:hAnsi="標楷體" w:hint="eastAsia"/>
          <w:sz w:val="32"/>
          <w:szCs w:val="32"/>
        </w:rPr>
        <w:t>成，其中</w:t>
      </w:r>
      <w:r w:rsidRPr="00ED715B">
        <w:rPr>
          <w:rFonts w:ascii="標楷體" w:eastAsia="標楷體" w:hAnsi="標楷體"/>
          <w:sz w:val="32"/>
          <w:szCs w:val="32"/>
        </w:rPr>
        <w:t>1</w:t>
      </w:r>
      <w:r w:rsidRPr="00ED715B">
        <w:rPr>
          <w:rFonts w:ascii="標楷體" w:eastAsia="標楷體" w:hAnsi="標楷體" w:hint="eastAsia"/>
          <w:sz w:val="32"/>
          <w:szCs w:val="32"/>
        </w:rPr>
        <w:t>成應俟借款人動工興建後始得撥貸。為控管建築貸款授信風險，農漁會信用部辦理擬興建後出售之土地抵押貸款，如非屬都市計畫劃定之住宅區或商業區土地，仍宜參照前開中央銀行規定自律控管。</w:t>
      </w:r>
    </w:p>
    <w:p w:rsidR="006D4001" w:rsidRPr="00783FA2" w:rsidRDefault="006D4001" w:rsidP="00783FA2">
      <w:pPr>
        <w:tabs>
          <w:tab w:val="left" w:pos="1276"/>
        </w:tabs>
        <w:spacing w:line="500" w:lineRule="exact"/>
        <w:ind w:left="1276" w:hanging="992"/>
        <w:rPr>
          <w:rFonts w:ascii="標楷體" w:eastAsia="標楷體" w:hAnsi="標楷體"/>
          <w:sz w:val="32"/>
          <w:szCs w:val="32"/>
        </w:rPr>
      </w:pPr>
      <w:r w:rsidRPr="00783FA2">
        <w:rPr>
          <w:rFonts w:ascii="標楷體" w:eastAsia="標楷體" w:hAnsi="標楷體" w:hint="eastAsia"/>
          <w:sz w:val="32"/>
          <w:szCs w:val="32"/>
        </w:rPr>
        <w:t>（四）為追蹤建築貸款辦理情形，建築貸款占信用部上年度決算淨值比率逾</w:t>
      </w:r>
      <w:r w:rsidRPr="00783FA2">
        <w:rPr>
          <w:rFonts w:ascii="標楷體" w:eastAsia="標楷體" w:hAnsi="標楷體"/>
          <w:sz w:val="32"/>
          <w:szCs w:val="32"/>
        </w:rPr>
        <w:t>100%</w:t>
      </w:r>
      <w:r w:rsidRPr="00783FA2">
        <w:rPr>
          <w:rFonts w:ascii="標楷體" w:eastAsia="標楷體" w:hAnsi="標楷體" w:hint="eastAsia"/>
          <w:sz w:val="32"/>
          <w:szCs w:val="32"/>
        </w:rPr>
        <w:t>之農漁會，應於次月</w:t>
      </w:r>
      <w:r w:rsidRPr="00783FA2">
        <w:rPr>
          <w:rFonts w:ascii="標楷體" w:eastAsia="標楷體" w:hAnsi="標楷體"/>
          <w:sz w:val="32"/>
          <w:szCs w:val="32"/>
        </w:rPr>
        <w:t>10</w:t>
      </w:r>
      <w:r w:rsidRPr="00783FA2">
        <w:rPr>
          <w:rFonts w:ascii="標楷體" w:eastAsia="標楷體" w:hAnsi="標楷體" w:hint="eastAsia"/>
          <w:sz w:val="32"/>
          <w:szCs w:val="32"/>
        </w:rPr>
        <w:t>日前按月函報「建築貸款辦理情形」（如附表），並副知中央存款保險公司。</w:t>
      </w:r>
    </w:p>
    <w:p w:rsidR="006D4001" w:rsidRPr="00783FA2" w:rsidRDefault="006D4001" w:rsidP="00ED715B">
      <w:pPr>
        <w:tabs>
          <w:tab w:val="num" w:pos="1387"/>
        </w:tabs>
        <w:spacing w:line="500" w:lineRule="exact"/>
        <w:ind w:leftChars="119" w:left="31680" w:hangingChars="309" w:firstLine="31680"/>
        <w:rPr>
          <w:rFonts w:ascii="標楷體" w:eastAsia="標楷體" w:hAnsi="標楷體"/>
          <w:sz w:val="32"/>
          <w:szCs w:val="32"/>
        </w:rPr>
      </w:pPr>
      <w:r w:rsidRPr="00783FA2">
        <w:rPr>
          <w:rFonts w:ascii="標楷體" w:eastAsia="標楷體" w:hAnsi="標楷體" w:hint="eastAsia"/>
          <w:sz w:val="32"/>
          <w:szCs w:val="32"/>
        </w:rPr>
        <w:t>（五）為確保統計資料之正確性，農漁會信用部應確實申報建築貸款資料，並建立覆核機制。</w:t>
      </w:r>
    </w:p>
    <w:p w:rsidR="006D4001" w:rsidRPr="00783FA2" w:rsidRDefault="006D4001" w:rsidP="00B95241">
      <w:pPr>
        <w:jc w:val="center"/>
        <w:rPr>
          <w:rFonts w:ascii="標楷體" w:eastAsia="標楷體" w:hAnsi="標楷體"/>
          <w:sz w:val="40"/>
          <w:szCs w:val="40"/>
        </w:rPr>
      </w:pPr>
    </w:p>
    <w:sectPr w:rsidR="006D4001" w:rsidRPr="00783FA2" w:rsidSect="00E15AA2">
      <w:footerReference w:type="default" r:id="rId7"/>
      <w:pgSz w:w="11906" w:h="16838"/>
      <w:pgMar w:top="1440" w:right="1800" w:bottom="1440" w:left="1800" w:header="851" w:footer="992" w:gutter="0"/>
      <w:pgNumType w:chapStyle="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001" w:rsidRDefault="006D4001" w:rsidP="008A112E">
      <w:pPr>
        <w:spacing w:line="240" w:lineRule="auto"/>
      </w:pPr>
      <w:r>
        <w:separator/>
      </w:r>
    </w:p>
  </w:endnote>
  <w:endnote w:type="continuationSeparator" w:id="0">
    <w:p w:rsidR="006D4001" w:rsidRDefault="006D4001" w:rsidP="008A11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01" w:rsidRPr="00E15AA2" w:rsidRDefault="006D4001" w:rsidP="00E15AA2">
    <w:pPr>
      <w:pStyle w:val="Footer"/>
      <w:jc w:val="center"/>
      <w:rPr>
        <w:rFonts w:ascii="標楷體" w:eastAsia="標楷體" w:hAnsi="標楷體"/>
      </w:rPr>
    </w:pPr>
    <w:r w:rsidRPr="00E15AA2">
      <w:rPr>
        <w:rFonts w:ascii="標楷體" w:eastAsia="標楷體" w:hAnsi="標楷體" w:hint="eastAsia"/>
      </w:rPr>
      <w:t>第</w:t>
    </w:r>
    <w:r w:rsidRPr="00E15AA2">
      <w:rPr>
        <w:rFonts w:ascii="標楷體" w:eastAsia="標楷體" w:hAnsi="標楷體"/>
      </w:rPr>
      <w:fldChar w:fldCharType="begin"/>
    </w:r>
    <w:r w:rsidRPr="00E15AA2">
      <w:rPr>
        <w:rFonts w:ascii="標楷體" w:eastAsia="標楷體" w:hAnsi="標楷體"/>
      </w:rPr>
      <w:instrText xml:space="preserve"> PAGE   \* MERGEFORMAT </w:instrText>
    </w:r>
    <w:r w:rsidRPr="00E15AA2">
      <w:rPr>
        <w:rFonts w:ascii="標楷體" w:eastAsia="標楷體" w:hAnsi="標楷體"/>
      </w:rPr>
      <w:fldChar w:fldCharType="separate"/>
    </w:r>
    <w:r w:rsidRPr="00ED715B">
      <w:rPr>
        <w:rFonts w:ascii="標楷體" w:eastAsia="標楷體" w:hAnsi="標楷體"/>
        <w:noProof/>
        <w:lang w:val="zh-TW"/>
      </w:rPr>
      <w:t>2</w:t>
    </w:r>
    <w:r w:rsidRPr="00E15AA2">
      <w:rPr>
        <w:rFonts w:ascii="標楷體" w:eastAsia="標楷體" w:hAnsi="標楷體"/>
      </w:rPr>
      <w:fldChar w:fldCharType="end"/>
    </w:r>
    <w:r w:rsidRPr="00E15AA2">
      <w:rPr>
        <w:rFonts w:ascii="標楷體" w:eastAsia="標楷體" w:hAnsi="標楷體" w:hint="eastAsia"/>
      </w:rPr>
      <w:t>頁</w:t>
    </w:r>
    <w:r>
      <w:rPr>
        <w:rFonts w:ascii="標楷體" w:eastAsia="標楷體" w:hAnsi="標楷體" w:hint="eastAsia"/>
      </w:rPr>
      <w:t>，共</w:t>
    </w:r>
    <w:r>
      <w:rPr>
        <w:rFonts w:ascii="標楷體" w:eastAsia="標楷體" w:hAnsi="標楷體"/>
      </w:rPr>
      <w:t>2</w:t>
    </w:r>
    <w:r>
      <w:rPr>
        <w:rFonts w:ascii="標楷體" w:eastAsia="標楷體" w:hAnsi="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001" w:rsidRDefault="006D4001" w:rsidP="008A112E">
      <w:pPr>
        <w:spacing w:line="240" w:lineRule="auto"/>
      </w:pPr>
      <w:r>
        <w:separator/>
      </w:r>
    </w:p>
  </w:footnote>
  <w:footnote w:type="continuationSeparator" w:id="0">
    <w:p w:rsidR="006D4001" w:rsidRDefault="006D4001" w:rsidP="008A112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A1DEE"/>
    <w:multiLevelType w:val="hybridMultilevel"/>
    <w:tmpl w:val="AAE46DA8"/>
    <w:lvl w:ilvl="0" w:tplc="B24A4C54">
      <w:start w:val="1"/>
      <w:numFmt w:val="decimal"/>
      <w:lvlText w:val="%1、"/>
      <w:lvlJc w:val="left"/>
      <w:pPr>
        <w:tabs>
          <w:tab w:val="num" w:pos="1006"/>
        </w:tabs>
        <w:ind w:left="1006" w:hanging="720"/>
      </w:pPr>
      <w:rPr>
        <w:rFonts w:cs="Times New Roman" w:hint="default"/>
      </w:rPr>
    </w:lvl>
    <w:lvl w:ilvl="1" w:tplc="04090019" w:tentative="1">
      <w:start w:val="1"/>
      <w:numFmt w:val="ideographTraditional"/>
      <w:lvlText w:val="%2、"/>
      <w:lvlJc w:val="left"/>
      <w:pPr>
        <w:tabs>
          <w:tab w:val="num" w:pos="1246"/>
        </w:tabs>
        <w:ind w:left="1246" w:hanging="480"/>
      </w:pPr>
      <w:rPr>
        <w:rFonts w:cs="Times New Roman"/>
      </w:rPr>
    </w:lvl>
    <w:lvl w:ilvl="2" w:tplc="0409001B" w:tentative="1">
      <w:start w:val="1"/>
      <w:numFmt w:val="lowerRoman"/>
      <w:lvlText w:val="%3."/>
      <w:lvlJc w:val="right"/>
      <w:pPr>
        <w:tabs>
          <w:tab w:val="num" w:pos="1726"/>
        </w:tabs>
        <w:ind w:left="1726" w:hanging="480"/>
      </w:pPr>
      <w:rPr>
        <w:rFonts w:cs="Times New Roman"/>
      </w:rPr>
    </w:lvl>
    <w:lvl w:ilvl="3" w:tplc="0409000F" w:tentative="1">
      <w:start w:val="1"/>
      <w:numFmt w:val="decimal"/>
      <w:lvlText w:val="%4."/>
      <w:lvlJc w:val="left"/>
      <w:pPr>
        <w:tabs>
          <w:tab w:val="num" w:pos="2206"/>
        </w:tabs>
        <w:ind w:left="2206" w:hanging="480"/>
      </w:pPr>
      <w:rPr>
        <w:rFonts w:cs="Times New Roman"/>
      </w:rPr>
    </w:lvl>
    <w:lvl w:ilvl="4" w:tplc="04090019" w:tentative="1">
      <w:start w:val="1"/>
      <w:numFmt w:val="ideographTraditional"/>
      <w:lvlText w:val="%5、"/>
      <w:lvlJc w:val="left"/>
      <w:pPr>
        <w:tabs>
          <w:tab w:val="num" w:pos="2686"/>
        </w:tabs>
        <w:ind w:left="2686" w:hanging="480"/>
      </w:pPr>
      <w:rPr>
        <w:rFonts w:cs="Times New Roman"/>
      </w:rPr>
    </w:lvl>
    <w:lvl w:ilvl="5" w:tplc="0409001B" w:tentative="1">
      <w:start w:val="1"/>
      <w:numFmt w:val="lowerRoman"/>
      <w:lvlText w:val="%6."/>
      <w:lvlJc w:val="right"/>
      <w:pPr>
        <w:tabs>
          <w:tab w:val="num" w:pos="3166"/>
        </w:tabs>
        <w:ind w:left="3166" w:hanging="480"/>
      </w:pPr>
      <w:rPr>
        <w:rFonts w:cs="Times New Roman"/>
      </w:rPr>
    </w:lvl>
    <w:lvl w:ilvl="6" w:tplc="0409000F" w:tentative="1">
      <w:start w:val="1"/>
      <w:numFmt w:val="decimal"/>
      <w:lvlText w:val="%7."/>
      <w:lvlJc w:val="left"/>
      <w:pPr>
        <w:tabs>
          <w:tab w:val="num" w:pos="3646"/>
        </w:tabs>
        <w:ind w:left="3646" w:hanging="480"/>
      </w:pPr>
      <w:rPr>
        <w:rFonts w:cs="Times New Roman"/>
      </w:rPr>
    </w:lvl>
    <w:lvl w:ilvl="7" w:tplc="04090019" w:tentative="1">
      <w:start w:val="1"/>
      <w:numFmt w:val="ideographTraditional"/>
      <w:lvlText w:val="%8、"/>
      <w:lvlJc w:val="left"/>
      <w:pPr>
        <w:tabs>
          <w:tab w:val="num" w:pos="4126"/>
        </w:tabs>
        <w:ind w:left="4126" w:hanging="480"/>
      </w:pPr>
      <w:rPr>
        <w:rFonts w:cs="Times New Roman"/>
      </w:rPr>
    </w:lvl>
    <w:lvl w:ilvl="8" w:tplc="0409001B" w:tentative="1">
      <w:start w:val="1"/>
      <w:numFmt w:val="lowerRoman"/>
      <w:lvlText w:val="%9."/>
      <w:lvlJc w:val="right"/>
      <w:pPr>
        <w:tabs>
          <w:tab w:val="num" w:pos="4606"/>
        </w:tabs>
        <w:ind w:left="4606" w:hanging="480"/>
      </w:pPr>
      <w:rPr>
        <w:rFonts w:cs="Times New Roman"/>
      </w:rPr>
    </w:lvl>
  </w:abstractNum>
  <w:abstractNum w:abstractNumId="1">
    <w:nsid w:val="5900157B"/>
    <w:multiLevelType w:val="hybridMultilevel"/>
    <w:tmpl w:val="E5A80824"/>
    <w:lvl w:ilvl="0" w:tplc="0409000F">
      <w:start w:val="1"/>
      <w:numFmt w:val="decimal"/>
      <w:lvlText w:val="%1."/>
      <w:lvlJc w:val="left"/>
      <w:pPr>
        <w:tabs>
          <w:tab w:val="num" w:pos="1387"/>
        </w:tabs>
        <w:ind w:left="1387" w:hanging="480"/>
      </w:pPr>
      <w:rPr>
        <w:rFonts w:cs="Times New Roman"/>
      </w:rPr>
    </w:lvl>
    <w:lvl w:ilvl="1" w:tplc="DD2C5CC8">
      <w:start w:val="1"/>
      <w:numFmt w:val="taiwaneseCountingThousand"/>
      <w:lvlText w:val="(%2)"/>
      <w:lvlJc w:val="left"/>
      <w:pPr>
        <w:tabs>
          <w:tab w:val="num" w:pos="1004"/>
        </w:tabs>
        <w:ind w:left="1004" w:hanging="720"/>
      </w:pPr>
      <w:rPr>
        <w:rFonts w:cs="Times New Roman" w:hint="default"/>
      </w:rPr>
    </w:lvl>
    <w:lvl w:ilvl="2" w:tplc="B1B4DD4E">
      <w:start w:val="1"/>
      <w:numFmt w:val="decimal"/>
      <w:lvlText w:val="(%3)"/>
      <w:lvlJc w:val="left"/>
      <w:pPr>
        <w:tabs>
          <w:tab w:val="num" w:pos="2587"/>
        </w:tabs>
        <w:ind w:left="2587" w:hanging="720"/>
      </w:pPr>
      <w:rPr>
        <w:rFonts w:cs="Times New Roman" w:hint="default"/>
      </w:rPr>
    </w:lvl>
    <w:lvl w:ilvl="3" w:tplc="0409000F">
      <w:start w:val="1"/>
      <w:numFmt w:val="decimal"/>
      <w:lvlText w:val="%4."/>
      <w:lvlJc w:val="left"/>
      <w:pPr>
        <w:tabs>
          <w:tab w:val="num" w:pos="1757"/>
        </w:tabs>
        <w:ind w:left="1757" w:hanging="480"/>
      </w:pPr>
      <w:rPr>
        <w:rFonts w:cs="Times New Roman"/>
      </w:rPr>
    </w:lvl>
    <w:lvl w:ilvl="4" w:tplc="04090019" w:tentative="1">
      <w:start w:val="1"/>
      <w:numFmt w:val="ideographTraditional"/>
      <w:lvlText w:val="%5、"/>
      <w:lvlJc w:val="left"/>
      <w:pPr>
        <w:tabs>
          <w:tab w:val="num" w:pos="3307"/>
        </w:tabs>
        <w:ind w:left="3307" w:hanging="480"/>
      </w:pPr>
      <w:rPr>
        <w:rFonts w:cs="Times New Roman"/>
      </w:rPr>
    </w:lvl>
    <w:lvl w:ilvl="5" w:tplc="0409001B" w:tentative="1">
      <w:start w:val="1"/>
      <w:numFmt w:val="lowerRoman"/>
      <w:lvlText w:val="%6."/>
      <w:lvlJc w:val="right"/>
      <w:pPr>
        <w:tabs>
          <w:tab w:val="num" w:pos="3787"/>
        </w:tabs>
        <w:ind w:left="3787" w:hanging="480"/>
      </w:pPr>
      <w:rPr>
        <w:rFonts w:cs="Times New Roman"/>
      </w:rPr>
    </w:lvl>
    <w:lvl w:ilvl="6" w:tplc="0409000F" w:tentative="1">
      <w:start w:val="1"/>
      <w:numFmt w:val="decimal"/>
      <w:lvlText w:val="%7."/>
      <w:lvlJc w:val="left"/>
      <w:pPr>
        <w:tabs>
          <w:tab w:val="num" w:pos="4267"/>
        </w:tabs>
        <w:ind w:left="4267" w:hanging="480"/>
      </w:pPr>
      <w:rPr>
        <w:rFonts w:cs="Times New Roman"/>
      </w:rPr>
    </w:lvl>
    <w:lvl w:ilvl="7" w:tplc="04090019" w:tentative="1">
      <w:start w:val="1"/>
      <w:numFmt w:val="ideographTraditional"/>
      <w:lvlText w:val="%8、"/>
      <w:lvlJc w:val="left"/>
      <w:pPr>
        <w:tabs>
          <w:tab w:val="num" w:pos="4747"/>
        </w:tabs>
        <w:ind w:left="4747" w:hanging="480"/>
      </w:pPr>
      <w:rPr>
        <w:rFonts w:cs="Times New Roman"/>
      </w:rPr>
    </w:lvl>
    <w:lvl w:ilvl="8" w:tplc="0409001B" w:tentative="1">
      <w:start w:val="1"/>
      <w:numFmt w:val="lowerRoman"/>
      <w:lvlText w:val="%9."/>
      <w:lvlJc w:val="right"/>
      <w:pPr>
        <w:tabs>
          <w:tab w:val="num" w:pos="5227"/>
        </w:tabs>
        <w:ind w:left="5227" w:hanging="4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5241"/>
    <w:rsid w:val="000320EB"/>
    <w:rsid w:val="00066719"/>
    <w:rsid w:val="00072F78"/>
    <w:rsid w:val="001839A2"/>
    <w:rsid w:val="001B7C04"/>
    <w:rsid w:val="001F7764"/>
    <w:rsid w:val="00264A1B"/>
    <w:rsid w:val="00282973"/>
    <w:rsid w:val="00285B32"/>
    <w:rsid w:val="0029425F"/>
    <w:rsid w:val="00313368"/>
    <w:rsid w:val="00333C41"/>
    <w:rsid w:val="00355449"/>
    <w:rsid w:val="00376642"/>
    <w:rsid w:val="00390067"/>
    <w:rsid w:val="003A67C8"/>
    <w:rsid w:val="003C3AB7"/>
    <w:rsid w:val="004075F0"/>
    <w:rsid w:val="004165A6"/>
    <w:rsid w:val="00442C39"/>
    <w:rsid w:val="004521B8"/>
    <w:rsid w:val="00475D3F"/>
    <w:rsid w:val="005277A0"/>
    <w:rsid w:val="00551D22"/>
    <w:rsid w:val="005A77AB"/>
    <w:rsid w:val="005B355A"/>
    <w:rsid w:val="00602E04"/>
    <w:rsid w:val="00604FCE"/>
    <w:rsid w:val="00632B4A"/>
    <w:rsid w:val="006435BF"/>
    <w:rsid w:val="006B0882"/>
    <w:rsid w:val="006D4001"/>
    <w:rsid w:val="006F7A11"/>
    <w:rsid w:val="00775857"/>
    <w:rsid w:val="00783FA2"/>
    <w:rsid w:val="007C61B9"/>
    <w:rsid w:val="007C6FC0"/>
    <w:rsid w:val="007F418B"/>
    <w:rsid w:val="008016F6"/>
    <w:rsid w:val="0082473A"/>
    <w:rsid w:val="008422B2"/>
    <w:rsid w:val="008A112E"/>
    <w:rsid w:val="008D038E"/>
    <w:rsid w:val="008F21AB"/>
    <w:rsid w:val="00944833"/>
    <w:rsid w:val="00946949"/>
    <w:rsid w:val="009869C4"/>
    <w:rsid w:val="009A1D10"/>
    <w:rsid w:val="00A066BF"/>
    <w:rsid w:val="00A26A4E"/>
    <w:rsid w:val="00A33562"/>
    <w:rsid w:val="00A346E4"/>
    <w:rsid w:val="00A92F13"/>
    <w:rsid w:val="00AA221B"/>
    <w:rsid w:val="00AC4670"/>
    <w:rsid w:val="00AD69B1"/>
    <w:rsid w:val="00AE28FC"/>
    <w:rsid w:val="00B43871"/>
    <w:rsid w:val="00B90AFF"/>
    <w:rsid w:val="00B95241"/>
    <w:rsid w:val="00BA6B64"/>
    <w:rsid w:val="00C178C3"/>
    <w:rsid w:val="00C70D04"/>
    <w:rsid w:val="00C85486"/>
    <w:rsid w:val="00CD7606"/>
    <w:rsid w:val="00DA4FFC"/>
    <w:rsid w:val="00DB5101"/>
    <w:rsid w:val="00DD7CD2"/>
    <w:rsid w:val="00DE2215"/>
    <w:rsid w:val="00DF6D3A"/>
    <w:rsid w:val="00E15AA2"/>
    <w:rsid w:val="00E16532"/>
    <w:rsid w:val="00E27C63"/>
    <w:rsid w:val="00E45D26"/>
    <w:rsid w:val="00E565DA"/>
    <w:rsid w:val="00ED715B"/>
    <w:rsid w:val="00F268CC"/>
    <w:rsid w:val="00F32331"/>
    <w:rsid w:val="00F43E76"/>
    <w:rsid w:val="00FF1C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10"/>
    <w:pPr>
      <w:widowControl w:val="0"/>
      <w:spacing w:line="460" w:lineRule="exact"/>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12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A112E"/>
    <w:rPr>
      <w:rFonts w:cs="Times New Roman"/>
      <w:sz w:val="20"/>
      <w:szCs w:val="20"/>
    </w:rPr>
  </w:style>
  <w:style w:type="paragraph" w:styleId="Footer">
    <w:name w:val="footer"/>
    <w:basedOn w:val="Normal"/>
    <w:link w:val="FooterChar"/>
    <w:uiPriority w:val="99"/>
    <w:semiHidden/>
    <w:rsid w:val="008A112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8A112E"/>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130</Words>
  <Characters>745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農漁會信用部建築貸款控管措施</dc:title>
  <dc:subject/>
  <dc:creator>rau</dc:creator>
  <cp:keywords/>
  <dc:description/>
  <cp:lastModifiedBy>ysl</cp:lastModifiedBy>
  <cp:revision>4</cp:revision>
  <cp:lastPrinted>2015-08-18T03:31:00Z</cp:lastPrinted>
  <dcterms:created xsi:type="dcterms:W3CDTF">2015-08-21T09:32:00Z</dcterms:created>
  <dcterms:modified xsi:type="dcterms:W3CDTF">2015-08-21T10:19:00Z</dcterms:modified>
</cp:coreProperties>
</file>