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7"/>
      </w:tblGrid>
      <w:tr w:rsidR="00861ECB" w:rsidRPr="00861E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ECB" w:rsidRPr="00861ECB" w:rsidRDefault="00861ECB" w:rsidP="00861ECB">
            <w:pPr>
              <w:widowControl/>
              <w:spacing w:after="100" w:line="300" w:lineRule="atLeast"/>
              <w:rPr>
                <w:rFonts w:ascii="細明體" w:eastAsia="細明體" w:hAnsi="細明體" w:cs="Arial"/>
                <w:b/>
                <w:bCs/>
                <w:color w:val="003FA6"/>
                <w:kern w:val="0"/>
                <w:szCs w:val="24"/>
              </w:rPr>
            </w:pPr>
            <w:r w:rsidRPr="00861ECB">
              <w:rPr>
                <w:rFonts w:ascii="細明體" w:eastAsia="細明體" w:hAnsi="細明體" w:cs="Arial" w:hint="eastAsia"/>
                <w:b/>
                <w:bCs/>
                <w:color w:val="003FA6"/>
                <w:kern w:val="0"/>
                <w:szCs w:val="24"/>
              </w:rPr>
              <w:t>為遏止投資</w:t>
            </w:r>
            <w:proofErr w:type="gramStart"/>
            <w:r w:rsidRPr="00861ECB">
              <w:rPr>
                <w:rFonts w:ascii="細明體" w:eastAsia="細明體" w:hAnsi="細明體" w:cs="Arial" w:hint="eastAsia"/>
                <w:b/>
                <w:bCs/>
                <w:color w:val="003FA6"/>
                <w:kern w:val="0"/>
                <w:szCs w:val="24"/>
              </w:rPr>
              <w:t>客炒房</w:t>
            </w:r>
            <w:proofErr w:type="gramEnd"/>
            <w:r w:rsidRPr="00861ECB">
              <w:rPr>
                <w:rFonts w:ascii="細明體" w:eastAsia="細明體" w:hAnsi="細明體" w:cs="Arial" w:hint="eastAsia"/>
                <w:b/>
                <w:bCs/>
                <w:color w:val="003FA6"/>
                <w:kern w:val="0"/>
                <w:szCs w:val="24"/>
              </w:rPr>
              <w:t>及健全國內經濟發展與金融秩序，請轉知所屬會(社)員機構應落實徵授信審核及貸放後管理，請 查照。</w:t>
            </w:r>
          </w:p>
        </w:tc>
      </w:tr>
      <w:tr w:rsidR="00861ECB" w:rsidRPr="00861E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ECB" w:rsidRPr="00861ECB" w:rsidRDefault="00861ECB" w:rsidP="00861ECB">
            <w:pPr>
              <w:widowControl/>
              <w:spacing w:before="100" w:beforeAutospacing="1" w:after="100" w:afterAutospacing="1" w:line="320" w:lineRule="atLeast"/>
              <w:rPr>
                <w:rFonts w:ascii="Arial" w:eastAsia="新細明體" w:hAnsi="Arial" w:cs="Arial"/>
                <w:color w:val="4C4C4C"/>
                <w:kern w:val="0"/>
                <w:szCs w:val="24"/>
              </w:rPr>
            </w:pP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受文者：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 xml:space="preserve"> 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如正、副本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發文日期：中華民國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104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年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3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月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5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日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發文字號：金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管檢銀字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第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1040154027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號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速別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：普通件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密等及解密條件或保密期限：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附件：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主旨：為遏止投資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客炒房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及健全國內經濟發展與金融秩序，請轉知所屬會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(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社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)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員機構應落實徵授信審核及貸放後管理，請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 xml:space="preserve">  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查照。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說明：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一、為防範利用他人名義申辦貸款，影響金融秩序，本會業於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100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年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3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月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23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日以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金管檢銀字第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1000154032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號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函請轉知所屬會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(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社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)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員機構落實徵授信審核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(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諒達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)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。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二、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邇來迭有媒體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報導及民眾反映，某特定集團號召投資客利用各種不當手法於國內各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地炒房及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向金融機構申辦貸款，為健全國內經濟發展與金融秩序，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爰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重申金融機構應依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前揭函示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規定，落實徵授信審核；另對投資型或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短期間內不動產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價格大幅上揚者，應審慎評估授信政策、風險控管及加強貸放管理，並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覈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實辦理不動產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鑑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價，以避免風險過度集中及助長投資客炒作情事，稽核單位執行年度稽核計畫時應注意查核其落實情形。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正本：中華民國銀行商業同業公會全國聯合會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(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代表人李紀珠君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)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、中華民國信用合作社聯合社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(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代表人</w:t>
            </w:r>
            <w:proofErr w:type="gramStart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麥勝剛君</w:t>
            </w:r>
            <w:proofErr w:type="gramEnd"/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)</w:t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br/>
            </w:r>
            <w:r w:rsidRPr="00861ECB">
              <w:rPr>
                <w:rFonts w:ascii="Arial" w:eastAsia="新細明體" w:hAnsi="Arial" w:cs="Arial"/>
                <w:color w:val="4C4C4C"/>
                <w:kern w:val="0"/>
                <w:szCs w:val="24"/>
              </w:rPr>
              <w:t>副本：金融監督管理委員會銀行局、資訊服務處、法源資訊股份有限公司</w:t>
            </w:r>
          </w:p>
        </w:tc>
      </w:tr>
    </w:tbl>
    <w:p w:rsidR="00173131" w:rsidRPr="00861ECB" w:rsidRDefault="00173131"/>
    <w:sectPr w:rsidR="00173131" w:rsidRPr="00861ECB" w:rsidSect="00173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ECB"/>
    <w:rsid w:val="00173131"/>
    <w:rsid w:val="0086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1E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rau</cp:lastModifiedBy>
  <cp:revision>1</cp:revision>
  <dcterms:created xsi:type="dcterms:W3CDTF">2015-03-12T06:02:00Z</dcterms:created>
  <dcterms:modified xsi:type="dcterms:W3CDTF">2015-03-12T06:03:00Z</dcterms:modified>
</cp:coreProperties>
</file>