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45" w:rsidRPr="00EB6B45" w:rsidRDefault="00EB6B45" w:rsidP="00EB6B45">
      <w:pPr>
        <w:widowControl/>
        <w:spacing w:line="384" w:lineRule="auto"/>
        <w:ind w:left="480"/>
        <w:textAlignment w:val="center"/>
        <w:outlineLvl w:val="4"/>
        <w:rPr>
          <w:rFonts w:ascii="新細明體" w:eastAsia="新細明體" w:hAnsi="新細明體" w:cs="新細明體"/>
          <w:b/>
          <w:bCs/>
          <w:color w:val="2A6491"/>
          <w:kern w:val="0"/>
          <w:sz w:val="29"/>
          <w:szCs w:val="29"/>
        </w:rPr>
      </w:pPr>
      <w:r w:rsidRPr="00EB6B45">
        <w:rPr>
          <w:rFonts w:ascii="新細明體" w:eastAsia="新細明體" w:hAnsi="新細明體" w:cs="新細明體"/>
          <w:b/>
          <w:bCs/>
          <w:color w:val="2A6491"/>
          <w:kern w:val="0"/>
          <w:sz w:val="29"/>
          <w:szCs w:val="29"/>
        </w:rPr>
        <w:t>為防範借戶利用他人名義向金融機構申辦貸款，各金融機構應加強查核借戶徵信作業、資金用途及還款來源</w:t>
      </w:r>
    </w:p>
    <w:p w:rsidR="00EB6B45" w:rsidRPr="00EB6B45" w:rsidRDefault="00EB6B45" w:rsidP="00EB6B45">
      <w:pPr>
        <w:widowControl/>
        <w:spacing w:line="384" w:lineRule="auto"/>
        <w:jc w:val="both"/>
        <w:textAlignment w:val="center"/>
        <w:rPr>
          <w:rFonts w:ascii="新細明體" w:eastAsia="新細明體" w:hAnsi="新細明體" w:cs="新細明體"/>
          <w:color w:val="444444"/>
          <w:kern w:val="0"/>
          <w:szCs w:val="24"/>
        </w:rPr>
      </w:pP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t>【行政院金融監督管理委員會100年3月23日金管檢銀字第1000154032號函】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主旨：為防範利用他人名義申辦貸款，影響金融秩序，請各金融機構落實徵授信審核，本會金融檢查並將加強查核借戶徵信、資金用途及還款來源，相關注意事項請轉知各會員機構遵照辦理，請 查照。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說明：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一、</w:t>
      </w:r>
      <w:proofErr w:type="gramStart"/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t>邇</w:t>
      </w:r>
      <w:proofErr w:type="gramEnd"/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t>來本會金融檢查發現，有借戶向金融機構申貸資金供他人使用之情事，金融機構主要缺失如下：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（一）徵信作業：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1.借戶所得與借款金額顯不相稱，對其他收入來源無合理說明或佐證資料。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2.借戶以不實薪資扣繳憑單、薪資證明書、存摺影本、申報綜所稅所得清單等資料申貸，未詳加查證。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3.借戶、擔保品所有權人與房屋契約書之買方不同，或不同借戶之保證人、擔保品提供人或聯絡資料相同等異常情事，未詳</w:t>
      </w:r>
      <w:proofErr w:type="gramStart"/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t>予審</w:t>
      </w:r>
      <w:proofErr w:type="gramEnd"/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t>核瞭解原因。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（二）資金用途：實際放款資金流向與申貸用途不符。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（三）還款來源：放款本息係由他人繳納。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二、金融機構與借戶間簽訂借貸契約，若借戶所提供之所得資料、資金用途與還款財源等與實際情形不符，將使金融機構無法依事實評估授信風險，有損及金融機構權益之虞。請各金融機構依下列事項辦理：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（一）徵授信人員在辦理業務時，應切實瞭解借戶實際所得，撥貸後確實查證其資金流向及繳款來源有無異常，各級主管亦應善盡審核及督導之責。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lastRenderedPageBreak/>
        <w:t>（二）請稽核單位加強查核，發現有重大缺失者，應檢討經辦人員及主管責任。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（三）對提供偽造資料申貸者，如有涉及刑事責任，請金融機構依法移送檢調單位調查。</w:t>
      </w:r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br/>
        <w:t>三、另依公平交易委員會對於金融業經營行為之規範說明第5點，有關借貸契約明定行使加速條款事由，包括「立約人對於金融業者所負債</w:t>
      </w:r>
      <w:proofErr w:type="gramStart"/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t>務</w:t>
      </w:r>
      <w:proofErr w:type="gramEnd"/>
      <w:r w:rsidRPr="00EB6B45">
        <w:rPr>
          <w:rFonts w:ascii="新細明體" w:eastAsia="新細明體" w:hAnsi="新細明體" w:cs="新細明體"/>
          <w:color w:val="444444"/>
          <w:kern w:val="0"/>
          <w:szCs w:val="24"/>
        </w:rPr>
        <w:t>，其實際資金用途與該業者核定用途不符」。請各金融機構注意上述約定條款之執行狀況，以維護金融機構權益。</w:t>
      </w:r>
    </w:p>
    <w:p w:rsidR="00173131" w:rsidRPr="00EB6B45" w:rsidRDefault="00173131"/>
    <w:sectPr w:rsidR="00173131" w:rsidRPr="00EB6B45" w:rsidSect="001731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B45"/>
    <w:rsid w:val="00173131"/>
    <w:rsid w:val="00EB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1"/>
    <w:pPr>
      <w:widowControl w:val="0"/>
    </w:pPr>
  </w:style>
  <w:style w:type="paragraph" w:styleId="5">
    <w:name w:val="heading 5"/>
    <w:basedOn w:val="a"/>
    <w:link w:val="50"/>
    <w:uiPriority w:val="9"/>
    <w:qFormat/>
    <w:rsid w:val="00EB6B45"/>
    <w:pPr>
      <w:widowControl/>
      <w:outlineLvl w:val="4"/>
    </w:pPr>
    <w:rPr>
      <w:rFonts w:ascii="新細明體" w:eastAsia="新細明體" w:hAnsi="新細明體" w:cs="新細明體"/>
      <w:b/>
      <w:bCs/>
      <w:color w:val="2A6491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EB6B45"/>
    <w:rPr>
      <w:rFonts w:ascii="新細明體" w:eastAsia="新細明體" w:hAnsi="新細明體" w:cs="新細明體"/>
      <w:b/>
      <w:bCs/>
      <w:color w:val="2A6491"/>
      <w:kern w:val="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rau</cp:lastModifiedBy>
  <cp:revision>1</cp:revision>
  <dcterms:created xsi:type="dcterms:W3CDTF">2015-03-12T06:02:00Z</dcterms:created>
  <dcterms:modified xsi:type="dcterms:W3CDTF">2015-03-12T06:09:00Z</dcterms:modified>
</cp:coreProperties>
</file>