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15" w:rsidRPr="000605C6" w:rsidRDefault="00C73D15" w:rsidP="00995C02">
      <w:pPr>
        <w:rPr>
          <w:rFonts w:ascii="標楷體" w:eastAsia="標楷體" w:hAnsi="標楷體"/>
          <w:sz w:val="32"/>
          <w:szCs w:val="32"/>
        </w:rPr>
      </w:pPr>
      <w:bookmarkStart w:id="0" w:name="_GoBack"/>
      <w:bookmarkEnd w:id="0"/>
      <w:r w:rsidRPr="000605C6">
        <w:rPr>
          <w:rFonts w:ascii="標楷體" w:eastAsia="標楷體" w:hAnsi="標楷體" w:hint="eastAsia"/>
          <w:sz w:val="32"/>
          <w:szCs w:val="32"/>
        </w:rPr>
        <w:t>「</w:t>
      </w:r>
      <w:r>
        <w:rPr>
          <w:rFonts w:ascii="標楷體" w:eastAsia="標楷體" w:hAnsi="標楷體" w:hint="eastAsia"/>
          <w:sz w:val="32"/>
          <w:szCs w:val="32"/>
        </w:rPr>
        <w:t>農會漁會信用部資產評估損失準備提列及逾期放款催收款呆帳處理辦法</w:t>
      </w:r>
      <w:r w:rsidRPr="000605C6">
        <w:rPr>
          <w:rFonts w:ascii="標楷體" w:eastAsia="標楷體" w:hAnsi="標楷體" w:hint="eastAsia"/>
          <w:sz w:val="32"/>
          <w:szCs w:val="32"/>
        </w:rPr>
        <w:t>」</w:t>
      </w:r>
      <w:r>
        <w:rPr>
          <w:rFonts w:ascii="標楷體" w:eastAsia="標楷體" w:hAnsi="標楷體" w:hint="eastAsia"/>
          <w:sz w:val="32"/>
          <w:szCs w:val="32"/>
        </w:rPr>
        <w:t>（以下簡稱呆帳處理辦法）修正條文</w:t>
      </w:r>
      <w:r w:rsidRPr="000605C6">
        <w:rPr>
          <w:rFonts w:ascii="標楷體" w:eastAsia="標楷體" w:hAnsi="標楷體" w:hint="eastAsia"/>
          <w:sz w:val="32"/>
          <w:szCs w:val="32"/>
        </w:rPr>
        <w:t>問與答</w:t>
      </w:r>
    </w:p>
    <w:p w:rsidR="00C73D15" w:rsidRDefault="00C73D15" w:rsidP="00995C02">
      <w:pPr>
        <w:jc w:val="center"/>
        <w:rPr>
          <w:rFonts w:ascii="標楷體" w:eastAsia="標楷體" w:hAnsi="標楷體"/>
          <w:b/>
          <w:sz w:val="40"/>
          <w:szCs w:val="40"/>
        </w:rPr>
      </w:pPr>
    </w:p>
    <w:p w:rsidR="00C73D15" w:rsidRPr="000605C6" w:rsidRDefault="00C73D15" w:rsidP="00995C02">
      <w:pPr>
        <w:ind w:left="701" w:hangingChars="250" w:hanging="701"/>
        <w:rPr>
          <w:rFonts w:ascii="標楷體" w:eastAsia="標楷體" w:hAnsi="標楷體"/>
          <w:sz w:val="28"/>
          <w:szCs w:val="28"/>
        </w:rPr>
      </w:pPr>
      <w:r>
        <w:rPr>
          <w:b/>
          <w:kern w:val="0"/>
          <w:sz w:val="28"/>
          <w:szCs w:val="28"/>
        </w:rPr>
        <w:t>Q1</w:t>
      </w:r>
      <w:r w:rsidRPr="00BD2F3A">
        <w:rPr>
          <w:rFonts w:ascii="新細明體" w:hAnsi="新細明體" w:hint="eastAsia"/>
          <w:b/>
          <w:kern w:val="0"/>
          <w:sz w:val="28"/>
          <w:szCs w:val="28"/>
        </w:rPr>
        <w:t>：</w:t>
      </w:r>
      <w:r w:rsidRPr="000605C6">
        <w:rPr>
          <w:rFonts w:ascii="標楷體" w:eastAsia="標楷體" w:hAnsi="標楷體" w:hint="eastAsia"/>
          <w:sz w:val="28"/>
          <w:szCs w:val="28"/>
        </w:rPr>
        <w:t>本次修法</w:t>
      </w:r>
      <w:r>
        <w:rPr>
          <w:rFonts w:ascii="標楷體" w:eastAsia="標楷體" w:hAnsi="標楷體" w:hint="eastAsia"/>
          <w:sz w:val="28"/>
          <w:szCs w:val="28"/>
        </w:rPr>
        <w:t>針對哪些</w:t>
      </w:r>
      <w:r w:rsidRPr="000605C6">
        <w:rPr>
          <w:rFonts w:ascii="標楷體" w:eastAsia="標楷體" w:hAnsi="標楷體" w:hint="eastAsia"/>
          <w:sz w:val="28"/>
          <w:szCs w:val="28"/>
        </w:rPr>
        <w:t>授信資產</w:t>
      </w:r>
      <w:r>
        <w:rPr>
          <w:rFonts w:ascii="標楷體" w:eastAsia="標楷體" w:hAnsi="標楷體" w:hint="eastAsia"/>
          <w:sz w:val="28"/>
          <w:szCs w:val="28"/>
        </w:rPr>
        <w:t>須</w:t>
      </w:r>
      <w:r w:rsidRPr="000605C6">
        <w:rPr>
          <w:rFonts w:ascii="標楷體" w:eastAsia="標楷體" w:hAnsi="標楷體" w:hint="eastAsia"/>
          <w:sz w:val="28"/>
          <w:szCs w:val="28"/>
        </w:rPr>
        <w:t>增提備抵呆帳？授信資產</w:t>
      </w:r>
      <w:r>
        <w:rPr>
          <w:rFonts w:ascii="標楷體" w:eastAsia="標楷體" w:hAnsi="標楷體" w:hint="eastAsia"/>
          <w:sz w:val="28"/>
          <w:szCs w:val="28"/>
        </w:rPr>
        <w:t>分類方式有無調整？</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答：維持現行規定之狹義逾期放款列報範圍，授信資產</w:t>
      </w:r>
      <w:r w:rsidR="00F423CB">
        <w:rPr>
          <w:rFonts w:ascii="標楷體" w:eastAsia="標楷體" w:hAnsi="標楷體" w:hint="eastAsia"/>
          <w:sz w:val="28"/>
          <w:szCs w:val="28"/>
        </w:rPr>
        <w:t>採</w:t>
      </w:r>
      <w:r w:rsidRPr="000605C6">
        <w:rPr>
          <w:rFonts w:ascii="標楷體" w:eastAsia="標楷體" w:hAnsi="標楷體"/>
          <w:sz w:val="28"/>
          <w:szCs w:val="28"/>
        </w:rPr>
        <w:t>4</w:t>
      </w:r>
      <w:r w:rsidR="00F423CB">
        <w:rPr>
          <w:rFonts w:ascii="標楷體" w:eastAsia="標楷體" w:hAnsi="標楷體" w:hint="eastAsia"/>
          <w:sz w:val="28"/>
          <w:szCs w:val="28"/>
        </w:rPr>
        <w:t>分</w:t>
      </w:r>
      <w:r w:rsidRPr="000605C6">
        <w:rPr>
          <w:rFonts w:ascii="標楷體" w:eastAsia="標楷體" w:hAnsi="標楷體" w:hint="eastAsia"/>
          <w:sz w:val="28"/>
          <w:szCs w:val="28"/>
        </w:rPr>
        <w:t>類之方式不變，</w:t>
      </w:r>
      <w:r>
        <w:rPr>
          <w:rFonts w:ascii="標楷體" w:eastAsia="標楷體" w:hAnsi="標楷體" w:hint="eastAsia"/>
          <w:sz w:val="28"/>
          <w:szCs w:val="28"/>
        </w:rPr>
        <w:t>本次修法係</w:t>
      </w:r>
      <w:r w:rsidRPr="000605C6">
        <w:rPr>
          <w:rFonts w:ascii="標楷體" w:eastAsia="標楷體" w:hAnsi="標楷體" w:hint="eastAsia"/>
          <w:sz w:val="28"/>
          <w:szCs w:val="28"/>
        </w:rPr>
        <w:t>以第一類及第二類授信資產為對象，規範應至少分別提列</w:t>
      </w:r>
      <w:r w:rsidRPr="000605C6">
        <w:rPr>
          <w:rFonts w:ascii="標楷體" w:eastAsia="標楷體" w:hAnsi="標楷體"/>
          <w:sz w:val="28"/>
          <w:szCs w:val="28"/>
        </w:rPr>
        <w:t>1</w:t>
      </w:r>
      <w:r>
        <w:rPr>
          <w:rFonts w:ascii="標楷體" w:eastAsia="標楷體" w:hAnsi="標楷體"/>
          <w:sz w:val="28"/>
          <w:szCs w:val="28"/>
        </w:rPr>
        <w:t>%</w:t>
      </w:r>
      <w:r w:rsidRPr="000605C6">
        <w:rPr>
          <w:rFonts w:ascii="標楷體" w:eastAsia="標楷體" w:hAnsi="標楷體" w:hint="eastAsia"/>
          <w:sz w:val="28"/>
          <w:szCs w:val="28"/>
        </w:rPr>
        <w:t>及</w:t>
      </w:r>
      <w:r w:rsidRPr="000605C6">
        <w:rPr>
          <w:rFonts w:ascii="標楷體" w:eastAsia="標楷體" w:hAnsi="標楷體"/>
          <w:sz w:val="28"/>
          <w:szCs w:val="28"/>
        </w:rPr>
        <w:t>2</w:t>
      </w:r>
      <w:r>
        <w:rPr>
          <w:rFonts w:ascii="標楷體" w:eastAsia="標楷體" w:hAnsi="標楷體"/>
          <w:sz w:val="28"/>
          <w:szCs w:val="28"/>
        </w:rPr>
        <w:t>%</w:t>
      </w:r>
      <w:r w:rsidRPr="000605C6">
        <w:rPr>
          <w:rFonts w:ascii="標楷體" w:eastAsia="標楷體" w:hAnsi="標楷體" w:hint="eastAsia"/>
          <w:sz w:val="28"/>
          <w:szCs w:val="28"/>
        </w:rPr>
        <w:t>之備抵呆帳。</w:t>
      </w:r>
    </w:p>
    <w:p w:rsidR="00C73D15" w:rsidRDefault="00C73D15" w:rsidP="00995C02">
      <w:pPr>
        <w:tabs>
          <w:tab w:val="left" w:pos="142"/>
        </w:tabs>
        <w:ind w:left="868" w:hangingChars="310" w:hanging="868"/>
        <w:rPr>
          <w:rFonts w:ascii="標楷體" w:eastAsia="標楷體" w:hAnsi="標楷體"/>
          <w:sz w:val="28"/>
          <w:szCs w:val="28"/>
        </w:rPr>
      </w:pPr>
    </w:p>
    <w:p w:rsidR="00C73D15" w:rsidRDefault="00C73D15" w:rsidP="00995C02">
      <w:pPr>
        <w:ind w:left="701" w:hangingChars="250" w:hanging="701"/>
        <w:rPr>
          <w:rFonts w:ascii="標楷體" w:eastAsia="標楷體" w:hAnsi="標楷體"/>
          <w:sz w:val="28"/>
          <w:szCs w:val="28"/>
        </w:rPr>
      </w:pPr>
      <w:r>
        <w:rPr>
          <w:b/>
          <w:kern w:val="0"/>
          <w:sz w:val="28"/>
          <w:szCs w:val="28"/>
        </w:rPr>
        <w:t>Q2</w:t>
      </w:r>
      <w:r w:rsidRPr="00BD2F3A">
        <w:rPr>
          <w:rFonts w:ascii="新細明體" w:hAnsi="新細明體" w:hint="eastAsia"/>
          <w:b/>
          <w:kern w:val="0"/>
          <w:sz w:val="28"/>
          <w:szCs w:val="28"/>
        </w:rPr>
        <w:t>：</w:t>
      </w:r>
      <w:r>
        <w:rPr>
          <w:rFonts w:ascii="標楷體" w:eastAsia="標楷體" w:hAnsi="標楷體" w:hint="eastAsia"/>
          <w:sz w:val="28"/>
          <w:szCs w:val="28"/>
        </w:rPr>
        <w:t>為何還須對</w:t>
      </w:r>
      <w:r w:rsidRPr="000605C6">
        <w:rPr>
          <w:rFonts w:ascii="標楷體" w:eastAsia="標楷體" w:hAnsi="標楷體" w:hint="eastAsia"/>
          <w:sz w:val="28"/>
          <w:szCs w:val="28"/>
        </w:rPr>
        <w:t>第一類及第二類授信資產增提備抵呆帳</w:t>
      </w:r>
      <w:r>
        <w:rPr>
          <w:rFonts w:ascii="標楷體" w:eastAsia="標楷體" w:hAnsi="標楷體" w:hint="eastAsia"/>
          <w:sz w:val="28"/>
          <w:szCs w:val="28"/>
        </w:rPr>
        <w:t>？</w:t>
      </w:r>
    </w:p>
    <w:p w:rsidR="00C73D15"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答：金融機構辦理授信業務，依風險管理原則，為因應未來可能產生之違約風險，應提列一定比率之呆帳費用</w:t>
      </w:r>
      <w:r>
        <w:rPr>
          <w:rFonts w:ascii="標楷體" w:eastAsia="標楷體" w:hAnsi="標楷體" w:hint="eastAsia"/>
          <w:sz w:val="28"/>
          <w:szCs w:val="28"/>
        </w:rPr>
        <w:t>；</w:t>
      </w:r>
      <w:r w:rsidRPr="000605C6">
        <w:rPr>
          <w:rFonts w:ascii="標楷體" w:eastAsia="標楷體" w:hAnsi="標楷體" w:hint="eastAsia"/>
          <w:sz w:val="28"/>
          <w:szCs w:val="28"/>
        </w:rPr>
        <w:t>第一類及第二類授信資產</w:t>
      </w:r>
      <w:r>
        <w:rPr>
          <w:rFonts w:ascii="標楷體" w:eastAsia="標楷體" w:hAnsi="標楷體" w:hint="eastAsia"/>
          <w:sz w:val="28"/>
          <w:szCs w:val="28"/>
        </w:rPr>
        <w:t>並非均無風險，</w:t>
      </w:r>
      <w:r w:rsidRPr="000605C6">
        <w:rPr>
          <w:rFonts w:ascii="標楷體" w:eastAsia="標楷體" w:hAnsi="標楷體" w:hint="eastAsia"/>
          <w:sz w:val="28"/>
          <w:szCs w:val="28"/>
        </w:rPr>
        <w:t>為協助農漁會信用部因應未來景氣變動，儲備風險承擔能力，爰</w:t>
      </w:r>
      <w:r>
        <w:rPr>
          <w:rFonts w:ascii="標楷體" w:eastAsia="標楷體" w:hAnsi="標楷體" w:hint="eastAsia"/>
          <w:sz w:val="28"/>
          <w:szCs w:val="28"/>
        </w:rPr>
        <w:t>增</w:t>
      </w:r>
      <w:r w:rsidRPr="000605C6">
        <w:rPr>
          <w:rFonts w:ascii="標楷體" w:eastAsia="標楷體" w:hAnsi="標楷體" w:hint="eastAsia"/>
          <w:sz w:val="28"/>
          <w:szCs w:val="28"/>
        </w:rPr>
        <w:t>訂</w:t>
      </w:r>
      <w:r>
        <w:rPr>
          <w:rFonts w:ascii="標楷體" w:eastAsia="標楷體" w:hAnsi="標楷體" w:hint="eastAsia"/>
          <w:sz w:val="28"/>
          <w:szCs w:val="28"/>
        </w:rPr>
        <w:t>該</w:t>
      </w:r>
      <w:r>
        <w:rPr>
          <w:rFonts w:ascii="標楷體" w:eastAsia="標楷體" w:hAnsi="標楷體"/>
          <w:sz w:val="28"/>
          <w:szCs w:val="28"/>
        </w:rPr>
        <w:t>2</w:t>
      </w:r>
      <w:r>
        <w:rPr>
          <w:rFonts w:ascii="標楷體" w:eastAsia="標楷體" w:hAnsi="標楷體" w:hint="eastAsia"/>
          <w:sz w:val="28"/>
          <w:szCs w:val="28"/>
        </w:rPr>
        <w:t>類</w:t>
      </w:r>
      <w:r w:rsidRPr="000605C6">
        <w:rPr>
          <w:rFonts w:ascii="標楷體" w:eastAsia="標楷體" w:hAnsi="標楷體" w:hint="eastAsia"/>
          <w:sz w:val="28"/>
          <w:szCs w:val="28"/>
        </w:rPr>
        <w:t>授信資產</w:t>
      </w:r>
      <w:r>
        <w:rPr>
          <w:rFonts w:ascii="標楷體" w:eastAsia="標楷體" w:hAnsi="標楷體" w:hint="eastAsia"/>
          <w:sz w:val="28"/>
          <w:szCs w:val="28"/>
        </w:rPr>
        <w:t>亦</w:t>
      </w:r>
      <w:r w:rsidRPr="000605C6">
        <w:rPr>
          <w:rFonts w:ascii="標楷體" w:eastAsia="標楷體" w:hAnsi="標楷體" w:hint="eastAsia"/>
          <w:sz w:val="28"/>
          <w:szCs w:val="28"/>
        </w:rPr>
        <w:t>應提列</w:t>
      </w:r>
      <w:r>
        <w:rPr>
          <w:rFonts w:ascii="標楷體" w:eastAsia="標楷體" w:hAnsi="標楷體" w:hint="eastAsia"/>
          <w:sz w:val="28"/>
          <w:szCs w:val="28"/>
        </w:rPr>
        <w:t>一定比率</w:t>
      </w:r>
      <w:r w:rsidRPr="000605C6">
        <w:rPr>
          <w:rFonts w:ascii="標楷體" w:eastAsia="標楷體" w:hAnsi="標楷體" w:hint="eastAsia"/>
          <w:sz w:val="28"/>
          <w:szCs w:val="28"/>
        </w:rPr>
        <w:t>備抵呆帳之規定</w:t>
      </w:r>
      <w:r>
        <w:rPr>
          <w:rFonts w:ascii="標楷體" w:eastAsia="標楷體" w:hAnsi="標楷體" w:hint="eastAsia"/>
          <w:sz w:val="28"/>
          <w:szCs w:val="28"/>
        </w:rPr>
        <w:t>。</w:t>
      </w:r>
    </w:p>
    <w:p w:rsidR="00C73D15" w:rsidRDefault="00C73D15" w:rsidP="00995C02">
      <w:pPr>
        <w:ind w:left="560" w:hangingChars="200" w:hanging="560"/>
        <w:rPr>
          <w:rFonts w:ascii="標楷體" w:eastAsia="標楷體" w:hAnsi="標楷體"/>
          <w:sz w:val="28"/>
          <w:szCs w:val="28"/>
        </w:rPr>
      </w:pPr>
    </w:p>
    <w:p w:rsidR="00C73D15" w:rsidRDefault="00C73D15" w:rsidP="00995C02">
      <w:pPr>
        <w:ind w:left="701" w:hangingChars="250" w:hanging="701"/>
        <w:rPr>
          <w:rFonts w:ascii="標楷體" w:eastAsia="標楷體" w:hAnsi="標楷體"/>
          <w:sz w:val="28"/>
          <w:szCs w:val="28"/>
        </w:rPr>
      </w:pPr>
      <w:r>
        <w:rPr>
          <w:b/>
          <w:kern w:val="0"/>
          <w:sz w:val="28"/>
          <w:szCs w:val="28"/>
        </w:rPr>
        <w:t>Q3</w:t>
      </w:r>
      <w:r w:rsidRPr="00BD2F3A">
        <w:rPr>
          <w:rFonts w:ascii="新細明體" w:hAnsi="新細明體" w:hint="eastAsia"/>
          <w:b/>
          <w:kern w:val="0"/>
          <w:sz w:val="28"/>
          <w:szCs w:val="28"/>
        </w:rPr>
        <w:t>：</w:t>
      </w:r>
      <w:r>
        <w:rPr>
          <w:rFonts w:ascii="標楷體" w:eastAsia="標楷體" w:hAnsi="標楷體" w:hint="eastAsia"/>
          <w:sz w:val="28"/>
          <w:szCs w:val="28"/>
        </w:rPr>
        <w:t>如信用部目前提列備抵呆帳金額已足，是否另須對</w:t>
      </w:r>
      <w:r w:rsidRPr="000605C6">
        <w:rPr>
          <w:rFonts w:ascii="標楷體" w:eastAsia="標楷體" w:hAnsi="標楷體" w:hint="eastAsia"/>
          <w:sz w:val="28"/>
          <w:szCs w:val="28"/>
        </w:rPr>
        <w:t>第一類及第二類授信資產增提備抵呆帳</w:t>
      </w:r>
      <w:r>
        <w:rPr>
          <w:rFonts w:ascii="標楷體" w:eastAsia="標楷體" w:hAnsi="標楷體" w:hint="eastAsia"/>
          <w:sz w:val="28"/>
          <w:szCs w:val="28"/>
        </w:rPr>
        <w:t>？</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答：倘</w:t>
      </w:r>
      <w:r>
        <w:rPr>
          <w:rFonts w:ascii="標楷體" w:eastAsia="標楷體" w:hAnsi="標楷體" w:hint="eastAsia"/>
          <w:sz w:val="28"/>
          <w:szCs w:val="28"/>
        </w:rPr>
        <w:t>信用部</w:t>
      </w:r>
      <w:r w:rsidRPr="000605C6">
        <w:rPr>
          <w:rFonts w:ascii="標楷體" w:eastAsia="標楷體" w:hAnsi="標楷體" w:hint="eastAsia"/>
          <w:sz w:val="28"/>
          <w:szCs w:val="28"/>
        </w:rPr>
        <w:t>目前帳列備抵呆帳金額</w:t>
      </w:r>
      <w:r>
        <w:rPr>
          <w:rFonts w:ascii="標楷體" w:eastAsia="標楷體" w:hAnsi="標楷體" w:hint="eastAsia"/>
          <w:sz w:val="28"/>
          <w:szCs w:val="28"/>
        </w:rPr>
        <w:t>已</w:t>
      </w:r>
      <w:r w:rsidRPr="000605C6">
        <w:rPr>
          <w:rFonts w:ascii="標楷體" w:eastAsia="標楷體" w:hAnsi="標楷體" w:hint="eastAsia"/>
          <w:sz w:val="28"/>
          <w:szCs w:val="28"/>
        </w:rPr>
        <w:t>足以涵蓋依新規定計算之最低標準備抵呆帳，</w:t>
      </w:r>
      <w:r w:rsidR="00F423CB">
        <w:rPr>
          <w:rFonts w:ascii="標楷體" w:eastAsia="標楷體" w:hAnsi="標楷體" w:hint="eastAsia"/>
          <w:sz w:val="28"/>
          <w:szCs w:val="28"/>
        </w:rPr>
        <w:t>得不</w:t>
      </w:r>
      <w:r w:rsidRPr="000605C6">
        <w:rPr>
          <w:rFonts w:ascii="標楷體" w:eastAsia="標楷體" w:hAnsi="標楷體" w:hint="eastAsia"/>
          <w:sz w:val="28"/>
          <w:szCs w:val="28"/>
        </w:rPr>
        <w:t>再提列備抵呆帳。</w:t>
      </w:r>
    </w:p>
    <w:p w:rsidR="00C73D15" w:rsidRPr="00282E56" w:rsidRDefault="00C73D15" w:rsidP="00995C02">
      <w:pPr>
        <w:ind w:left="1364" w:hangingChars="487" w:hanging="1364"/>
        <w:rPr>
          <w:rFonts w:ascii="標楷體" w:eastAsia="標楷體" w:hAnsi="標楷體"/>
          <w:sz w:val="28"/>
          <w:szCs w:val="28"/>
        </w:rPr>
      </w:pPr>
    </w:p>
    <w:p w:rsidR="00C73D15" w:rsidRPr="000605C6" w:rsidRDefault="00C73D15" w:rsidP="00995C02">
      <w:pPr>
        <w:ind w:left="869" w:hangingChars="310" w:hanging="869"/>
        <w:rPr>
          <w:rFonts w:ascii="標楷體" w:eastAsia="標楷體" w:hAnsi="標楷體"/>
          <w:sz w:val="28"/>
          <w:szCs w:val="28"/>
        </w:rPr>
      </w:pPr>
      <w:r>
        <w:rPr>
          <w:b/>
          <w:kern w:val="0"/>
          <w:sz w:val="28"/>
          <w:szCs w:val="28"/>
        </w:rPr>
        <w:t>Q4</w:t>
      </w:r>
      <w:r w:rsidRPr="00BD2F3A">
        <w:rPr>
          <w:rFonts w:ascii="新細明體" w:hAnsi="新細明體" w:hint="eastAsia"/>
          <w:b/>
          <w:kern w:val="0"/>
          <w:sz w:val="28"/>
          <w:szCs w:val="28"/>
        </w:rPr>
        <w:t>：</w:t>
      </w:r>
      <w:r w:rsidRPr="000605C6">
        <w:rPr>
          <w:rFonts w:ascii="標楷體" w:eastAsia="標楷體" w:hAnsi="標楷體" w:hint="eastAsia"/>
          <w:sz w:val="28"/>
          <w:szCs w:val="28"/>
        </w:rPr>
        <w:t>第一類授信資產是否扣除對於我國政府機關之債權餘額？</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w:t>
      </w:r>
      <w:r>
        <w:rPr>
          <w:rFonts w:ascii="標楷體" w:eastAsia="標楷體" w:hAnsi="標楷體" w:hint="eastAsia"/>
          <w:sz w:val="28"/>
          <w:szCs w:val="28"/>
        </w:rPr>
        <w:t>是。依據</w:t>
      </w:r>
      <w:r w:rsidRPr="00497583">
        <w:rPr>
          <w:rFonts w:ascii="標楷體" w:eastAsia="標楷體" w:hAnsi="標楷體" w:hint="eastAsia"/>
          <w:sz w:val="28"/>
          <w:szCs w:val="28"/>
        </w:rPr>
        <w:t>呆帳處理辦法</w:t>
      </w:r>
      <w:r w:rsidRPr="000605C6">
        <w:rPr>
          <w:rFonts w:ascii="標楷體" w:eastAsia="標楷體" w:hAnsi="標楷體" w:hint="eastAsia"/>
          <w:sz w:val="28"/>
          <w:szCs w:val="28"/>
        </w:rPr>
        <w:t>第</w:t>
      </w:r>
      <w:r w:rsidRPr="000605C6">
        <w:rPr>
          <w:rFonts w:ascii="標楷體" w:eastAsia="標楷體" w:hAnsi="標楷體"/>
          <w:sz w:val="28"/>
          <w:szCs w:val="28"/>
        </w:rPr>
        <w:t>4</w:t>
      </w:r>
      <w:r w:rsidRPr="000605C6">
        <w:rPr>
          <w:rFonts w:ascii="標楷體" w:eastAsia="標楷體" w:hAnsi="標楷體" w:hint="eastAsia"/>
          <w:sz w:val="28"/>
          <w:szCs w:val="28"/>
        </w:rPr>
        <w:t>條第</w:t>
      </w:r>
      <w:r w:rsidRPr="000605C6">
        <w:rPr>
          <w:rFonts w:ascii="標楷體" w:eastAsia="標楷體" w:hAnsi="標楷體"/>
          <w:sz w:val="28"/>
          <w:szCs w:val="28"/>
        </w:rPr>
        <w:t>1</w:t>
      </w:r>
      <w:r w:rsidRPr="000605C6">
        <w:rPr>
          <w:rFonts w:ascii="標楷體" w:eastAsia="標楷體" w:hAnsi="標楷體" w:hint="eastAsia"/>
          <w:sz w:val="28"/>
          <w:szCs w:val="28"/>
        </w:rPr>
        <w:t>項修正</w:t>
      </w:r>
      <w:r>
        <w:rPr>
          <w:rFonts w:ascii="標楷體" w:eastAsia="標楷體" w:hAnsi="標楷體" w:hint="eastAsia"/>
          <w:sz w:val="28"/>
          <w:szCs w:val="28"/>
        </w:rPr>
        <w:t>規定，</w:t>
      </w:r>
      <w:r w:rsidRPr="000605C6">
        <w:rPr>
          <w:rFonts w:ascii="標楷體" w:eastAsia="標楷體" w:hAnsi="標楷體" w:hint="eastAsia"/>
          <w:sz w:val="28"/>
          <w:szCs w:val="28"/>
        </w:rPr>
        <w:t>第一類授信資產債權餘額應扣除對於我國政府機關之債權餘額，</w:t>
      </w:r>
      <w:r>
        <w:rPr>
          <w:rFonts w:ascii="標楷體" w:eastAsia="標楷體" w:hAnsi="標楷體" w:hint="eastAsia"/>
          <w:sz w:val="28"/>
          <w:szCs w:val="28"/>
        </w:rPr>
        <w:t>所稱</w:t>
      </w:r>
      <w:r w:rsidRPr="000605C6">
        <w:rPr>
          <w:rFonts w:ascii="標楷體" w:eastAsia="標楷體" w:hAnsi="標楷體" w:hint="eastAsia"/>
          <w:sz w:val="28"/>
          <w:szCs w:val="28"/>
        </w:rPr>
        <w:t>政府機關</w:t>
      </w:r>
      <w:r>
        <w:rPr>
          <w:rFonts w:ascii="標楷體" w:eastAsia="標楷體" w:hAnsi="標楷體" w:hint="eastAsia"/>
          <w:sz w:val="28"/>
          <w:szCs w:val="28"/>
        </w:rPr>
        <w:t>包括</w:t>
      </w:r>
      <w:r w:rsidRPr="000605C6">
        <w:rPr>
          <w:rFonts w:ascii="標楷體" w:eastAsia="標楷體" w:hAnsi="標楷體" w:hint="eastAsia"/>
          <w:sz w:val="28"/>
          <w:szCs w:val="28"/>
        </w:rPr>
        <w:t>中央及地方政府。</w:t>
      </w:r>
    </w:p>
    <w:p w:rsidR="00C73D15" w:rsidRPr="00282E56" w:rsidRDefault="00C73D15" w:rsidP="00995C02">
      <w:pPr>
        <w:ind w:leftChars="-177" w:left="1185" w:hangingChars="575" w:hanging="1610"/>
        <w:rPr>
          <w:rFonts w:ascii="標楷體" w:eastAsia="標楷體" w:hAnsi="標楷體"/>
          <w:sz w:val="28"/>
          <w:szCs w:val="28"/>
        </w:rPr>
      </w:pPr>
    </w:p>
    <w:p w:rsidR="00C73D15" w:rsidRPr="000605C6" w:rsidRDefault="00C73D15" w:rsidP="00995C02">
      <w:pPr>
        <w:ind w:left="701" w:hangingChars="250" w:hanging="701"/>
        <w:rPr>
          <w:rFonts w:ascii="標楷體" w:eastAsia="標楷體" w:hAnsi="標楷體"/>
          <w:sz w:val="28"/>
          <w:szCs w:val="28"/>
        </w:rPr>
      </w:pPr>
      <w:r>
        <w:rPr>
          <w:b/>
          <w:kern w:val="0"/>
          <w:sz w:val="28"/>
          <w:szCs w:val="28"/>
        </w:rPr>
        <w:t>Q5</w:t>
      </w:r>
      <w:r w:rsidRPr="00BD2F3A">
        <w:rPr>
          <w:rFonts w:ascii="新細明體" w:hAnsi="新細明體" w:hint="eastAsia"/>
          <w:b/>
          <w:kern w:val="0"/>
          <w:sz w:val="28"/>
          <w:szCs w:val="28"/>
        </w:rPr>
        <w:t>：</w:t>
      </w:r>
      <w:r w:rsidRPr="000605C6">
        <w:rPr>
          <w:rFonts w:ascii="標楷體" w:eastAsia="標楷體" w:hAnsi="標楷體" w:hint="eastAsia"/>
          <w:sz w:val="28"/>
          <w:szCs w:val="28"/>
        </w:rPr>
        <w:t>第一類及第二類授信資產應分別提列最低標準之備抵呆帳，須於何時提足？</w:t>
      </w:r>
      <w:r>
        <w:rPr>
          <w:rFonts w:ascii="標楷體" w:eastAsia="標楷體" w:hAnsi="標楷體" w:hint="eastAsia"/>
          <w:sz w:val="28"/>
          <w:szCs w:val="28"/>
        </w:rPr>
        <w:t>若未能依限提足，可否申請展延？</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w:t>
      </w:r>
    </w:p>
    <w:p w:rsidR="00C73D15" w:rsidRPr="000605C6" w:rsidRDefault="00C73D15" w:rsidP="00995C02">
      <w:pPr>
        <w:kinsoku w:val="0"/>
        <w:ind w:leftChars="150" w:left="632" w:hangingChars="97" w:hanging="272"/>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依</w:t>
      </w:r>
      <w:r w:rsidRPr="00497583">
        <w:rPr>
          <w:rFonts w:ascii="標楷體" w:eastAsia="標楷體" w:hAnsi="標楷體" w:hint="eastAsia"/>
          <w:sz w:val="28"/>
          <w:szCs w:val="28"/>
        </w:rPr>
        <w:t>呆帳處理辦法</w:t>
      </w:r>
      <w:r w:rsidRPr="000605C6">
        <w:rPr>
          <w:rFonts w:ascii="標楷體" w:eastAsia="標楷體" w:hAnsi="標楷體" w:hint="eastAsia"/>
          <w:sz w:val="28"/>
          <w:szCs w:val="28"/>
        </w:rPr>
        <w:t>第</w:t>
      </w:r>
      <w:r w:rsidRPr="000605C6">
        <w:rPr>
          <w:rFonts w:ascii="標楷體" w:eastAsia="標楷體" w:hAnsi="標楷體"/>
          <w:sz w:val="28"/>
          <w:szCs w:val="28"/>
        </w:rPr>
        <w:t>4</w:t>
      </w:r>
      <w:r w:rsidRPr="000605C6">
        <w:rPr>
          <w:rFonts w:ascii="標楷體" w:eastAsia="標楷體" w:hAnsi="標楷體" w:hint="eastAsia"/>
          <w:sz w:val="28"/>
          <w:szCs w:val="28"/>
        </w:rPr>
        <w:t>條第</w:t>
      </w:r>
      <w:r w:rsidRPr="000605C6">
        <w:rPr>
          <w:rFonts w:ascii="標楷體" w:eastAsia="標楷體" w:hAnsi="標楷體"/>
          <w:sz w:val="28"/>
          <w:szCs w:val="28"/>
        </w:rPr>
        <w:t>2</w:t>
      </w:r>
      <w:r w:rsidRPr="000605C6">
        <w:rPr>
          <w:rFonts w:ascii="標楷體" w:eastAsia="標楷體" w:hAnsi="標楷體" w:hint="eastAsia"/>
          <w:sz w:val="28"/>
          <w:szCs w:val="28"/>
        </w:rPr>
        <w:t>項</w:t>
      </w:r>
      <w:r>
        <w:rPr>
          <w:rFonts w:ascii="標楷體" w:eastAsia="標楷體" w:hAnsi="標楷體" w:hint="eastAsia"/>
          <w:sz w:val="28"/>
          <w:szCs w:val="28"/>
        </w:rPr>
        <w:t>修正規定，對於</w:t>
      </w:r>
      <w:r w:rsidRPr="000605C6">
        <w:rPr>
          <w:rFonts w:ascii="標楷體" w:eastAsia="標楷體" w:hAnsi="標楷體" w:hint="eastAsia"/>
          <w:sz w:val="28"/>
          <w:szCs w:val="28"/>
        </w:rPr>
        <w:t>第一類及第二類授信資產應分別提列最低標準之備抵呆帳</w:t>
      </w:r>
      <w:r>
        <w:rPr>
          <w:rFonts w:ascii="標楷體" w:eastAsia="標楷體" w:hAnsi="標楷體" w:hint="eastAsia"/>
          <w:sz w:val="28"/>
          <w:szCs w:val="28"/>
        </w:rPr>
        <w:t>，</w:t>
      </w:r>
      <w:r w:rsidRPr="000605C6">
        <w:rPr>
          <w:rFonts w:ascii="標楷體" w:eastAsia="標楷體" w:hAnsi="標楷體" w:hint="eastAsia"/>
          <w:sz w:val="28"/>
          <w:szCs w:val="28"/>
        </w:rPr>
        <w:t>明定信用部自</w:t>
      </w:r>
      <w:r w:rsidRPr="000605C6">
        <w:rPr>
          <w:rFonts w:ascii="標楷體" w:eastAsia="標楷體" w:hAnsi="標楷體"/>
          <w:sz w:val="28"/>
          <w:szCs w:val="28"/>
        </w:rPr>
        <w:t>104</w:t>
      </w:r>
      <w:r w:rsidRPr="000605C6">
        <w:rPr>
          <w:rFonts w:ascii="標楷體" w:eastAsia="標楷體" w:hAnsi="標楷體" w:hint="eastAsia"/>
          <w:sz w:val="28"/>
          <w:szCs w:val="28"/>
        </w:rPr>
        <w:t>年</w:t>
      </w:r>
      <w:r w:rsidRPr="000605C6">
        <w:rPr>
          <w:rFonts w:ascii="標楷體" w:eastAsia="標楷體" w:hAnsi="標楷體"/>
          <w:sz w:val="28"/>
          <w:szCs w:val="28"/>
        </w:rPr>
        <w:t>1</w:t>
      </w:r>
      <w:r w:rsidRPr="000605C6">
        <w:rPr>
          <w:rFonts w:ascii="標楷體" w:eastAsia="標楷體" w:hAnsi="標楷體" w:hint="eastAsia"/>
          <w:sz w:val="28"/>
          <w:szCs w:val="28"/>
        </w:rPr>
        <w:t>月</w:t>
      </w:r>
      <w:r w:rsidRPr="000605C6">
        <w:rPr>
          <w:rFonts w:ascii="標楷體" w:eastAsia="標楷體" w:hAnsi="標楷體"/>
          <w:sz w:val="28"/>
          <w:szCs w:val="28"/>
        </w:rPr>
        <w:t>1</w:t>
      </w:r>
      <w:r w:rsidRPr="000605C6">
        <w:rPr>
          <w:rFonts w:ascii="標楷體" w:eastAsia="標楷體" w:hAnsi="標楷體" w:hint="eastAsia"/>
          <w:sz w:val="28"/>
          <w:szCs w:val="28"/>
        </w:rPr>
        <w:t>日起，</w:t>
      </w:r>
      <w:r w:rsidRPr="000605C6">
        <w:rPr>
          <w:rFonts w:ascii="標楷體" w:eastAsia="標楷體" w:hAnsi="標楷體" w:hint="eastAsia"/>
          <w:sz w:val="28"/>
          <w:szCs w:val="28"/>
        </w:rPr>
        <w:lastRenderedPageBreak/>
        <w:t>原則上應於</w:t>
      </w:r>
      <w:r w:rsidRPr="000605C6">
        <w:rPr>
          <w:rFonts w:ascii="標楷體" w:eastAsia="標楷體" w:hAnsi="標楷體"/>
          <w:sz w:val="28"/>
          <w:szCs w:val="28"/>
        </w:rPr>
        <w:t>1</w:t>
      </w:r>
      <w:r w:rsidRPr="000605C6">
        <w:rPr>
          <w:rFonts w:ascii="標楷體" w:eastAsia="標楷體" w:hAnsi="標楷體" w:hint="eastAsia"/>
          <w:sz w:val="28"/>
          <w:szCs w:val="28"/>
        </w:rPr>
        <w:t>年內提足，但如有正當理由者，得於期限屆滿前，報經理事會通過後，申請展延。</w:t>
      </w:r>
    </w:p>
    <w:p w:rsidR="00C73D15" w:rsidRPr="000605C6" w:rsidRDefault="00C73D15" w:rsidP="00995C02">
      <w:pPr>
        <w:kinsoku w:val="0"/>
        <w:ind w:leftChars="150" w:left="632" w:hangingChars="97" w:hanging="272"/>
        <w:rPr>
          <w:rFonts w:ascii="標楷體" w:eastAsia="標楷體" w:hAnsi="標楷體"/>
          <w:sz w:val="28"/>
          <w:szCs w:val="28"/>
        </w:rPr>
      </w:pPr>
      <w:r>
        <w:rPr>
          <w:rFonts w:ascii="標楷體" w:eastAsia="標楷體" w:hAnsi="標楷體"/>
          <w:sz w:val="28"/>
          <w:szCs w:val="28"/>
        </w:rPr>
        <w:t>2.</w:t>
      </w:r>
      <w:r w:rsidRPr="000605C6">
        <w:rPr>
          <w:rFonts w:ascii="標楷體" w:eastAsia="標楷體" w:hAnsi="標楷體" w:hint="eastAsia"/>
          <w:sz w:val="28"/>
          <w:szCs w:val="28"/>
        </w:rPr>
        <w:t>上開展延申請案，應函報縣府層轉</w:t>
      </w:r>
      <w:r>
        <w:rPr>
          <w:rFonts w:ascii="標楷體" w:eastAsia="標楷體" w:hAnsi="標楷體" w:hint="eastAsia"/>
          <w:sz w:val="28"/>
          <w:szCs w:val="28"/>
        </w:rPr>
        <w:t>農委</w:t>
      </w:r>
      <w:r w:rsidRPr="000605C6">
        <w:rPr>
          <w:rFonts w:ascii="標楷體" w:eastAsia="標楷體" w:hAnsi="標楷體" w:hint="eastAsia"/>
          <w:sz w:val="28"/>
          <w:szCs w:val="28"/>
        </w:rPr>
        <w:t>會審核，展延期限不得超過</w:t>
      </w:r>
      <w:r w:rsidRPr="000605C6">
        <w:rPr>
          <w:rFonts w:ascii="標楷體" w:eastAsia="標楷體" w:hAnsi="標楷體"/>
          <w:sz w:val="28"/>
          <w:szCs w:val="28"/>
        </w:rPr>
        <w:t>4</w:t>
      </w:r>
      <w:r w:rsidRPr="000605C6">
        <w:rPr>
          <w:rFonts w:ascii="標楷體" w:eastAsia="標楷體" w:hAnsi="標楷體" w:hint="eastAsia"/>
          <w:sz w:val="28"/>
          <w:szCs w:val="28"/>
        </w:rPr>
        <w:t>年，展延期間每年提撥比率不得低於</w:t>
      </w:r>
      <w:r w:rsidRPr="000605C6">
        <w:rPr>
          <w:rFonts w:ascii="標楷體" w:eastAsia="標楷體" w:hAnsi="標楷體"/>
          <w:sz w:val="28"/>
          <w:szCs w:val="28"/>
        </w:rPr>
        <w:t>25</w:t>
      </w:r>
      <w:r w:rsidRPr="000605C6">
        <w:rPr>
          <w:rFonts w:ascii="標楷體" w:eastAsia="標楷體" w:hAnsi="標楷體" w:hint="eastAsia"/>
          <w:sz w:val="28"/>
          <w:szCs w:val="28"/>
        </w:rPr>
        <w:t>％。</w:t>
      </w:r>
    </w:p>
    <w:p w:rsidR="00C73D15" w:rsidRPr="000605C6" w:rsidRDefault="00C73D15" w:rsidP="00995C02">
      <w:pPr>
        <w:ind w:leftChars="-472" w:left="1142" w:hanging="2275"/>
        <w:rPr>
          <w:rFonts w:ascii="標楷體" w:eastAsia="標楷體" w:hAnsi="標楷體"/>
          <w:sz w:val="28"/>
          <w:szCs w:val="28"/>
        </w:rPr>
      </w:pPr>
      <w:r w:rsidRPr="000605C6">
        <w:rPr>
          <w:rFonts w:ascii="標楷體" w:eastAsia="標楷體" w:hAnsi="標楷體"/>
          <w:sz w:val="28"/>
          <w:szCs w:val="28"/>
        </w:rPr>
        <w:t xml:space="preserve">              </w:t>
      </w:r>
    </w:p>
    <w:p w:rsidR="00C73D15" w:rsidRPr="000605C6" w:rsidRDefault="00C73D15" w:rsidP="00995C02">
      <w:pPr>
        <w:ind w:left="701" w:hangingChars="250" w:hanging="701"/>
        <w:rPr>
          <w:rFonts w:ascii="標楷體" w:eastAsia="標楷體" w:hAnsi="標楷體"/>
          <w:sz w:val="28"/>
          <w:szCs w:val="28"/>
        </w:rPr>
      </w:pPr>
      <w:r>
        <w:rPr>
          <w:b/>
          <w:kern w:val="0"/>
          <w:sz w:val="28"/>
          <w:szCs w:val="28"/>
        </w:rPr>
        <w:t>Q6</w:t>
      </w:r>
      <w:r w:rsidRPr="00BD2F3A">
        <w:rPr>
          <w:rFonts w:ascii="新細明體" w:hAnsi="新細明體" w:hint="eastAsia"/>
          <w:b/>
          <w:kern w:val="0"/>
          <w:sz w:val="28"/>
          <w:szCs w:val="28"/>
        </w:rPr>
        <w:t>：</w:t>
      </w:r>
      <w:r w:rsidRPr="000605C6">
        <w:rPr>
          <w:rFonts w:ascii="標楷體" w:eastAsia="標楷體" w:hAnsi="標楷體" w:hint="eastAsia"/>
          <w:sz w:val="28"/>
          <w:szCs w:val="28"/>
        </w:rPr>
        <w:t>第一類及第二類授信資產增加提列備抵呆帳，信用部淨值占風險性資產比率之第二類資本之計算</w:t>
      </w:r>
      <w:r>
        <w:rPr>
          <w:rFonts w:ascii="標楷體" w:eastAsia="標楷體" w:hAnsi="標楷體" w:hint="eastAsia"/>
          <w:sz w:val="28"/>
          <w:szCs w:val="28"/>
        </w:rPr>
        <w:t>是否須因應調整</w:t>
      </w:r>
      <w:r w:rsidRPr="000605C6">
        <w:rPr>
          <w:rFonts w:ascii="標楷體" w:eastAsia="標楷體" w:hAnsi="標楷體"/>
          <w:sz w:val="28"/>
          <w:szCs w:val="28"/>
        </w:rPr>
        <w:t>?</w:t>
      </w:r>
    </w:p>
    <w:p w:rsidR="00C73D15" w:rsidRPr="000605C6" w:rsidRDefault="00C73D15" w:rsidP="00995C02">
      <w:pPr>
        <w:ind w:leftChars="-177" w:left="317" w:hangingChars="265" w:hanging="742"/>
        <w:rPr>
          <w:rFonts w:ascii="標楷體" w:eastAsia="標楷體" w:hAnsi="標楷體"/>
          <w:sz w:val="28"/>
          <w:szCs w:val="28"/>
        </w:rPr>
      </w:pPr>
      <w:r w:rsidRPr="000605C6">
        <w:rPr>
          <w:rFonts w:ascii="標楷體" w:eastAsia="標楷體" w:hAnsi="標楷體"/>
          <w:sz w:val="28"/>
          <w:szCs w:val="28"/>
        </w:rPr>
        <w:t xml:space="preserve">  </w:t>
      </w:r>
      <w:r w:rsidRPr="000605C6">
        <w:rPr>
          <w:rFonts w:ascii="標楷體" w:eastAsia="標楷體" w:hAnsi="標楷體" w:hint="eastAsia"/>
          <w:sz w:val="28"/>
          <w:szCs w:val="28"/>
        </w:rPr>
        <w:t>答：</w:t>
      </w:r>
    </w:p>
    <w:p w:rsidR="00C73D15" w:rsidRPr="000605C6" w:rsidRDefault="00C73D15" w:rsidP="00995C02">
      <w:pPr>
        <w:kinsoku w:val="0"/>
        <w:ind w:leftChars="150" w:left="632" w:hangingChars="97" w:hanging="272"/>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農委會</w:t>
      </w:r>
      <w:smartTag w:uri="urn:schemas-microsoft-com:office:smarttags" w:element="chsdate">
        <w:smartTagPr>
          <w:attr w:name="Year" w:val="1995"/>
          <w:attr w:name="Month" w:val="3"/>
          <w:attr w:name="Day" w:val="20"/>
          <w:attr w:name="IsLunarDate" w:val="False"/>
          <w:attr w:name="IsROCDate" w:val="False"/>
        </w:smartTagPr>
        <w:r w:rsidRPr="000605C6">
          <w:rPr>
            <w:rFonts w:ascii="標楷體" w:eastAsia="標楷體" w:hAnsi="標楷體"/>
            <w:sz w:val="28"/>
            <w:szCs w:val="28"/>
          </w:rPr>
          <w:t>95</w:t>
        </w:r>
        <w:r w:rsidRPr="000605C6">
          <w:rPr>
            <w:rFonts w:ascii="標楷體" w:eastAsia="標楷體" w:hAnsi="標楷體" w:hint="eastAsia"/>
            <w:sz w:val="28"/>
            <w:szCs w:val="28"/>
          </w:rPr>
          <w:t>年</w:t>
        </w:r>
        <w:r w:rsidRPr="000605C6">
          <w:rPr>
            <w:rFonts w:ascii="標楷體" w:eastAsia="標楷體" w:hAnsi="標楷體"/>
            <w:sz w:val="28"/>
            <w:szCs w:val="28"/>
          </w:rPr>
          <w:t>3</w:t>
        </w:r>
        <w:r w:rsidRPr="000605C6">
          <w:rPr>
            <w:rFonts w:ascii="標楷體" w:eastAsia="標楷體" w:hAnsi="標楷體" w:hint="eastAsia"/>
            <w:sz w:val="28"/>
            <w:szCs w:val="28"/>
          </w:rPr>
          <w:t>月</w:t>
        </w:r>
        <w:r w:rsidRPr="000605C6">
          <w:rPr>
            <w:rFonts w:ascii="標楷體" w:eastAsia="標楷體" w:hAnsi="標楷體"/>
            <w:sz w:val="28"/>
            <w:szCs w:val="28"/>
          </w:rPr>
          <w:t>20</w:t>
        </w:r>
        <w:r w:rsidRPr="000605C6">
          <w:rPr>
            <w:rFonts w:ascii="標楷體" w:eastAsia="標楷體" w:hAnsi="標楷體" w:hint="eastAsia"/>
            <w:sz w:val="28"/>
            <w:szCs w:val="28"/>
          </w:rPr>
          <w:t>日</w:t>
        </w:r>
      </w:smartTag>
      <w:r w:rsidRPr="000605C6">
        <w:rPr>
          <w:rFonts w:ascii="標楷體" w:eastAsia="標楷體" w:hAnsi="標楷體" w:hint="eastAsia"/>
          <w:sz w:val="28"/>
          <w:szCs w:val="28"/>
        </w:rPr>
        <w:t>農授金字第</w:t>
      </w:r>
      <w:r w:rsidRPr="000605C6">
        <w:rPr>
          <w:rFonts w:ascii="標楷體" w:eastAsia="標楷體" w:hAnsi="標楷體"/>
          <w:sz w:val="28"/>
          <w:szCs w:val="28"/>
        </w:rPr>
        <w:t>0955070208</w:t>
      </w:r>
      <w:r w:rsidRPr="000605C6">
        <w:rPr>
          <w:rFonts w:ascii="標楷體" w:eastAsia="標楷體" w:hAnsi="標楷體" w:hint="eastAsia"/>
          <w:sz w:val="28"/>
          <w:szCs w:val="28"/>
        </w:rPr>
        <w:t>號函示略以，以第三類授信資產餘額之</w:t>
      </w:r>
      <w:r w:rsidRPr="000605C6">
        <w:rPr>
          <w:rFonts w:ascii="標楷體" w:eastAsia="標楷體" w:hAnsi="標楷體"/>
          <w:sz w:val="28"/>
          <w:szCs w:val="28"/>
        </w:rPr>
        <w:t>50</w:t>
      </w:r>
      <w:r w:rsidRPr="000605C6">
        <w:rPr>
          <w:rFonts w:ascii="標楷體" w:eastAsia="標楷體" w:hAnsi="標楷體" w:hint="eastAsia"/>
          <w:sz w:val="28"/>
          <w:szCs w:val="28"/>
        </w:rPr>
        <w:t>％與第四類授信資產餘額之和，評估為可能遭受損失，前開針對特定損失所提列之備抵呆帳，依「農會漁會信用部淨值占風險性資產比率管理辦法」第</w:t>
      </w:r>
      <w:r w:rsidRPr="000605C6">
        <w:rPr>
          <w:rFonts w:ascii="標楷體" w:eastAsia="標楷體" w:hAnsi="標楷體"/>
          <w:sz w:val="28"/>
          <w:szCs w:val="28"/>
        </w:rPr>
        <w:t>3</w:t>
      </w:r>
      <w:r w:rsidRPr="000605C6">
        <w:rPr>
          <w:rFonts w:ascii="標楷體" w:eastAsia="標楷體" w:hAnsi="標楷體" w:hint="eastAsia"/>
          <w:sz w:val="28"/>
          <w:szCs w:val="28"/>
        </w:rPr>
        <w:t>條第</w:t>
      </w:r>
      <w:r w:rsidRPr="000605C6">
        <w:rPr>
          <w:rFonts w:ascii="標楷體" w:eastAsia="標楷體" w:hAnsi="標楷體"/>
          <w:sz w:val="28"/>
          <w:szCs w:val="28"/>
        </w:rPr>
        <w:t>1</w:t>
      </w:r>
      <w:r w:rsidRPr="000605C6">
        <w:rPr>
          <w:rFonts w:ascii="標楷體" w:eastAsia="標楷體" w:hAnsi="標楷體" w:hint="eastAsia"/>
          <w:sz w:val="28"/>
          <w:szCs w:val="28"/>
        </w:rPr>
        <w:t>項第</w:t>
      </w:r>
      <w:r w:rsidRPr="000605C6">
        <w:rPr>
          <w:rFonts w:ascii="標楷體" w:eastAsia="標楷體" w:hAnsi="標楷體"/>
          <w:sz w:val="28"/>
          <w:szCs w:val="28"/>
        </w:rPr>
        <w:t>2</w:t>
      </w:r>
      <w:r w:rsidRPr="000605C6">
        <w:rPr>
          <w:rFonts w:ascii="標楷體" w:eastAsia="標楷體" w:hAnsi="標楷體" w:hint="eastAsia"/>
          <w:sz w:val="28"/>
          <w:szCs w:val="28"/>
        </w:rPr>
        <w:t>款規定，不得列為第二類資本。</w:t>
      </w:r>
    </w:p>
    <w:p w:rsidR="00C73D15" w:rsidRPr="000605C6" w:rsidRDefault="00C73D15" w:rsidP="00995C02">
      <w:pPr>
        <w:kinsoku w:val="0"/>
        <w:ind w:leftChars="150" w:left="632" w:hangingChars="97" w:hanging="272"/>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因應本次修法，農委會於</w:t>
      </w:r>
      <w:r>
        <w:rPr>
          <w:rFonts w:ascii="標楷體" w:eastAsia="標楷體" w:hAnsi="標楷體"/>
          <w:sz w:val="28"/>
          <w:szCs w:val="28"/>
        </w:rPr>
        <w:t>103</w:t>
      </w:r>
      <w:r w:rsidRPr="000605C6">
        <w:rPr>
          <w:rFonts w:ascii="標楷體" w:eastAsia="標楷體" w:hAnsi="標楷體" w:hint="eastAsia"/>
          <w:sz w:val="28"/>
          <w:szCs w:val="28"/>
        </w:rPr>
        <w:t>年</w:t>
      </w:r>
      <w:r>
        <w:rPr>
          <w:rFonts w:ascii="標楷體" w:eastAsia="標楷體" w:hAnsi="標楷體"/>
          <w:sz w:val="28"/>
          <w:szCs w:val="28"/>
        </w:rPr>
        <w:t>12</w:t>
      </w:r>
      <w:r w:rsidRPr="000605C6">
        <w:rPr>
          <w:rFonts w:ascii="標楷體" w:eastAsia="標楷體" w:hAnsi="標楷體" w:hint="eastAsia"/>
          <w:sz w:val="28"/>
          <w:szCs w:val="28"/>
        </w:rPr>
        <w:t>月</w:t>
      </w:r>
      <w:r w:rsidR="00F423CB">
        <w:rPr>
          <w:rFonts w:ascii="標楷體" w:eastAsia="標楷體" w:hAnsi="標楷體" w:hint="eastAsia"/>
          <w:sz w:val="28"/>
          <w:szCs w:val="28"/>
        </w:rPr>
        <w:t>30</w:t>
      </w:r>
      <w:r w:rsidRPr="000605C6">
        <w:rPr>
          <w:rFonts w:ascii="標楷體" w:eastAsia="標楷體" w:hAnsi="標楷體" w:hint="eastAsia"/>
          <w:sz w:val="28"/>
          <w:szCs w:val="28"/>
        </w:rPr>
        <w:t>日</w:t>
      </w:r>
      <w:r>
        <w:rPr>
          <w:rFonts w:ascii="標楷體" w:eastAsia="標楷體" w:hAnsi="標楷體" w:hint="eastAsia"/>
          <w:sz w:val="28"/>
          <w:szCs w:val="28"/>
        </w:rPr>
        <w:t>以</w:t>
      </w:r>
      <w:r w:rsidRPr="000605C6">
        <w:rPr>
          <w:rFonts w:ascii="標楷體" w:eastAsia="標楷體" w:hAnsi="標楷體" w:hint="eastAsia"/>
          <w:sz w:val="28"/>
          <w:szCs w:val="28"/>
        </w:rPr>
        <w:t>農授金字第</w:t>
      </w:r>
      <w:r w:rsidR="00F423CB">
        <w:rPr>
          <w:rFonts w:ascii="標楷體" w:eastAsia="標楷體" w:hAnsi="標楷體" w:hint="eastAsia"/>
          <w:sz w:val="28"/>
          <w:szCs w:val="28"/>
        </w:rPr>
        <w:t>1035074224B</w:t>
      </w:r>
      <w:r>
        <w:rPr>
          <w:rFonts w:ascii="標楷體" w:eastAsia="標楷體" w:hAnsi="標楷體"/>
          <w:sz w:val="28"/>
          <w:szCs w:val="28"/>
        </w:rPr>
        <w:t xml:space="preserve">       </w:t>
      </w:r>
      <w:r w:rsidRPr="000605C6">
        <w:rPr>
          <w:rFonts w:ascii="標楷體" w:eastAsia="標楷體" w:hAnsi="標楷體" w:hint="eastAsia"/>
          <w:sz w:val="28"/>
          <w:szCs w:val="28"/>
        </w:rPr>
        <w:t>號函</w:t>
      </w:r>
      <w:r>
        <w:rPr>
          <w:rFonts w:ascii="標楷體" w:eastAsia="標楷體" w:hAnsi="標楷體" w:hint="eastAsia"/>
          <w:sz w:val="28"/>
          <w:szCs w:val="28"/>
        </w:rPr>
        <w:t>另予</w:t>
      </w:r>
      <w:r w:rsidRPr="000605C6">
        <w:rPr>
          <w:rFonts w:ascii="標楷體" w:eastAsia="標楷體" w:hAnsi="標楷體" w:hint="eastAsia"/>
          <w:sz w:val="28"/>
          <w:szCs w:val="28"/>
        </w:rPr>
        <w:t>函釋，第一類及第二類授信資產</w:t>
      </w:r>
      <w:r w:rsidR="00F423CB">
        <w:rPr>
          <w:rFonts w:ascii="標楷體" w:eastAsia="標楷體" w:hAnsi="標楷體" w:hint="eastAsia"/>
          <w:sz w:val="28"/>
          <w:szCs w:val="28"/>
        </w:rPr>
        <w:t>依規定提列最低標準之</w:t>
      </w:r>
      <w:r w:rsidRPr="000605C6">
        <w:rPr>
          <w:rFonts w:ascii="標楷體" w:eastAsia="標楷體" w:hAnsi="標楷體" w:hint="eastAsia"/>
          <w:sz w:val="28"/>
          <w:szCs w:val="28"/>
        </w:rPr>
        <w:t>備抵呆帳</w:t>
      </w:r>
      <w:r w:rsidR="00F423CB">
        <w:rPr>
          <w:rFonts w:ascii="標楷體" w:eastAsia="標楷體" w:hAnsi="標楷體" w:hint="eastAsia"/>
          <w:sz w:val="28"/>
          <w:szCs w:val="28"/>
        </w:rPr>
        <w:t>（第1類1%，第2類2%）</w:t>
      </w:r>
      <w:r w:rsidRPr="000605C6">
        <w:rPr>
          <w:rFonts w:ascii="標楷體" w:eastAsia="標楷體" w:hAnsi="標楷體" w:hint="eastAsia"/>
          <w:sz w:val="28"/>
          <w:szCs w:val="28"/>
        </w:rPr>
        <w:t>，亦屬針對特定損失所提列之備抵呆帳，而不得列入第二類資本。</w:t>
      </w:r>
      <w:r>
        <w:rPr>
          <w:rFonts w:ascii="標楷體" w:eastAsia="標楷體" w:hAnsi="標楷體" w:hint="eastAsia"/>
          <w:sz w:val="28"/>
          <w:szCs w:val="28"/>
        </w:rPr>
        <w:t>上開</w:t>
      </w:r>
      <w:r>
        <w:rPr>
          <w:rFonts w:ascii="標楷體" w:eastAsia="標楷體" w:hAnsi="標楷體"/>
          <w:sz w:val="28"/>
          <w:szCs w:val="28"/>
        </w:rPr>
        <w:t>95</w:t>
      </w:r>
      <w:r>
        <w:rPr>
          <w:rFonts w:ascii="標楷體" w:eastAsia="標楷體" w:hAnsi="標楷體" w:hint="eastAsia"/>
          <w:sz w:val="28"/>
          <w:szCs w:val="28"/>
        </w:rPr>
        <w:t>年函同時停止適用。</w:t>
      </w:r>
    </w:p>
    <w:p w:rsidR="00C73D15" w:rsidRPr="000605C6" w:rsidRDefault="00C73D15" w:rsidP="00995C02">
      <w:pPr>
        <w:ind w:leftChars="-472" w:left="1142" w:hanging="2275"/>
        <w:rPr>
          <w:rFonts w:ascii="標楷體" w:eastAsia="標楷體" w:hAnsi="標楷體"/>
          <w:sz w:val="28"/>
          <w:szCs w:val="28"/>
        </w:rPr>
      </w:pPr>
      <w:r w:rsidRPr="000605C6">
        <w:rPr>
          <w:rFonts w:ascii="標楷體" w:eastAsia="標楷體" w:hAnsi="標楷體"/>
          <w:sz w:val="28"/>
          <w:szCs w:val="28"/>
        </w:rPr>
        <w:t xml:space="preserve">     </w:t>
      </w:r>
    </w:p>
    <w:p w:rsidR="00C73D15" w:rsidRPr="000605C6" w:rsidRDefault="00C73D15" w:rsidP="00995C02">
      <w:pPr>
        <w:ind w:left="701" w:hangingChars="250" w:hanging="701"/>
        <w:rPr>
          <w:rFonts w:ascii="標楷體" w:eastAsia="標楷體" w:hAnsi="標楷體"/>
          <w:sz w:val="28"/>
          <w:szCs w:val="28"/>
        </w:rPr>
      </w:pPr>
      <w:r>
        <w:rPr>
          <w:b/>
          <w:kern w:val="0"/>
          <w:sz w:val="28"/>
          <w:szCs w:val="28"/>
        </w:rPr>
        <w:t>Q7</w:t>
      </w:r>
      <w:r w:rsidRPr="00BD2F3A">
        <w:rPr>
          <w:rFonts w:ascii="新細明體" w:hAnsi="新細明體" w:hint="eastAsia"/>
          <w:b/>
          <w:kern w:val="0"/>
          <w:sz w:val="28"/>
          <w:szCs w:val="28"/>
        </w:rPr>
        <w:t>：</w:t>
      </w:r>
      <w:r w:rsidRPr="000605C6">
        <w:rPr>
          <w:rFonts w:ascii="標楷體" w:eastAsia="標楷體" w:hAnsi="標楷體" w:hint="eastAsia"/>
          <w:sz w:val="28"/>
          <w:szCs w:val="28"/>
        </w:rPr>
        <w:t>第一類及第二類授信資產增加提列備抵呆帳，</w:t>
      </w:r>
      <w:r>
        <w:rPr>
          <w:rFonts w:ascii="標楷體" w:eastAsia="標楷體" w:hAnsi="標楷體" w:hint="eastAsia"/>
          <w:sz w:val="28"/>
          <w:szCs w:val="28"/>
        </w:rPr>
        <w:t>恐</w:t>
      </w:r>
      <w:r w:rsidRPr="000605C6">
        <w:rPr>
          <w:rFonts w:ascii="標楷體" w:eastAsia="標楷體" w:hAnsi="標楷體" w:hint="eastAsia"/>
          <w:sz w:val="28"/>
          <w:szCs w:val="28"/>
        </w:rPr>
        <w:t>影響中央存款保險公司計收之保費，有何配套措施？</w:t>
      </w:r>
    </w:p>
    <w:p w:rsidR="00C73D15" w:rsidRPr="000605C6" w:rsidRDefault="00C73D15" w:rsidP="00995C02">
      <w:pPr>
        <w:ind w:left="560" w:hangingChars="200" w:hanging="560"/>
        <w:rPr>
          <w:rFonts w:ascii="標楷體" w:eastAsia="標楷體" w:hAnsi="標楷體"/>
          <w:sz w:val="28"/>
          <w:szCs w:val="28"/>
        </w:rPr>
      </w:pPr>
      <w:r w:rsidRPr="000605C6">
        <w:rPr>
          <w:rFonts w:ascii="標楷體" w:eastAsia="標楷體" w:hAnsi="標楷體" w:hint="eastAsia"/>
          <w:sz w:val="28"/>
          <w:szCs w:val="28"/>
        </w:rPr>
        <w:t>答：為避免增提備抵呆帳對農漁會信用部存保保費造成影響，已請中央存款保險公司研議於新規定施行日起</w:t>
      </w:r>
      <w:r w:rsidRPr="000605C6">
        <w:rPr>
          <w:rFonts w:ascii="標楷體" w:eastAsia="標楷體" w:hAnsi="標楷體"/>
          <w:sz w:val="28"/>
          <w:szCs w:val="28"/>
        </w:rPr>
        <w:t>2</w:t>
      </w:r>
      <w:r w:rsidRPr="000605C6">
        <w:rPr>
          <w:rFonts w:ascii="標楷體" w:eastAsia="標楷體" w:hAnsi="標楷體" w:hint="eastAsia"/>
          <w:sz w:val="28"/>
          <w:szCs w:val="28"/>
        </w:rPr>
        <w:t>年內，就信用部為達到規定之最低標準而對第一類及第二類授信資產增提之呆帳費用，還原重算</w:t>
      </w:r>
      <w:r w:rsidR="00F423CB">
        <w:rPr>
          <w:rFonts w:ascii="標楷體" w:eastAsia="標楷體" w:hAnsi="標楷體" w:hint="eastAsia"/>
          <w:sz w:val="28"/>
          <w:szCs w:val="28"/>
        </w:rPr>
        <w:t>計收之保費</w:t>
      </w:r>
      <w:r w:rsidRPr="000605C6">
        <w:rPr>
          <w:rFonts w:ascii="標楷體" w:eastAsia="標楷體" w:hAnsi="標楷體" w:hint="eastAsia"/>
          <w:sz w:val="28"/>
          <w:szCs w:val="28"/>
        </w:rPr>
        <w:t>。</w:t>
      </w:r>
    </w:p>
    <w:p w:rsidR="00C73D15" w:rsidRPr="000605C6" w:rsidRDefault="00C73D15" w:rsidP="00995C02">
      <w:pPr>
        <w:ind w:firstLine="2"/>
        <w:rPr>
          <w:rFonts w:ascii="標楷體" w:eastAsia="標楷體" w:hAnsi="標楷體"/>
          <w:sz w:val="28"/>
          <w:szCs w:val="28"/>
        </w:rPr>
      </w:pPr>
    </w:p>
    <w:p w:rsidR="00C73D15" w:rsidRPr="000605C6" w:rsidRDefault="00C73D15" w:rsidP="00995C02">
      <w:pPr>
        <w:ind w:firstLine="2"/>
        <w:rPr>
          <w:rFonts w:ascii="標楷體" w:eastAsia="標楷體" w:hAnsi="標楷體"/>
          <w:sz w:val="28"/>
          <w:szCs w:val="28"/>
        </w:rPr>
      </w:pPr>
      <w:r>
        <w:rPr>
          <w:b/>
          <w:kern w:val="0"/>
          <w:sz w:val="28"/>
          <w:szCs w:val="28"/>
        </w:rPr>
        <w:t>Q8</w:t>
      </w:r>
      <w:r w:rsidRPr="00BD2F3A">
        <w:rPr>
          <w:rFonts w:ascii="新細明體" w:hAnsi="新細明體" w:hint="eastAsia"/>
          <w:b/>
          <w:kern w:val="0"/>
          <w:sz w:val="28"/>
          <w:szCs w:val="28"/>
        </w:rPr>
        <w:t>：</w:t>
      </w:r>
      <w:r w:rsidRPr="000605C6">
        <w:rPr>
          <w:rFonts w:ascii="標楷體" w:eastAsia="標楷體" w:hAnsi="標楷體" w:hint="eastAsia"/>
          <w:sz w:val="28"/>
          <w:szCs w:val="28"/>
        </w:rPr>
        <w:t>對於本次</w:t>
      </w:r>
      <w:r w:rsidRPr="00497583">
        <w:rPr>
          <w:rFonts w:ascii="標楷體" w:eastAsia="標楷體" w:hAnsi="標楷體" w:hint="eastAsia"/>
          <w:sz w:val="28"/>
          <w:szCs w:val="28"/>
        </w:rPr>
        <w:t>呆帳處理辦法</w:t>
      </w:r>
      <w:r w:rsidRPr="000605C6">
        <w:rPr>
          <w:rFonts w:ascii="標楷體" w:eastAsia="標楷體" w:hAnsi="標楷體" w:hint="eastAsia"/>
          <w:sz w:val="28"/>
          <w:szCs w:val="28"/>
        </w:rPr>
        <w:t>修正規定，如有疑問，應如何尋求協助？</w:t>
      </w:r>
    </w:p>
    <w:p w:rsidR="00C73D15" w:rsidRPr="00B95241" w:rsidRDefault="00C73D15" w:rsidP="00995C02">
      <w:pPr>
        <w:ind w:left="560" w:hangingChars="200" w:hanging="560"/>
        <w:rPr>
          <w:rFonts w:ascii="標楷體" w:eastAsia="標楷體" w:hAnsi="標楷體"/>
          <w:b/>
          <w:sz w:val="40"/>
          <w:szCs w:val="40"/>
        </w:rPr>
      </w:pPr>
      <w:r w:rsidRPr="000605C6">
        <w:rPr>
          <w:rFonts w:ascii="標楷體" w:eastAsia="標楷體" w:hAnsi="標楷體" w:hint="eastAsia"/>
          <w:sz w:val="28"/>
          <w:szCs w:val="28"/>
        </w:rPr>
        <w:t>答：對於本次</w:t>
      </w:r>
      <w:r w:rsidRPr="00497583">
        <w:rPr>
          <w:rFonts w:ascii="標楷體" w:eastAsia="標楷體" w:hAnsi="標楷體" w:hint="eastAsia"/>
          <w:sz w:val="28"/>
          <w:szCs w:val="28"/>
        </w:rPr>
        <w:t>呆帳處理辦法</w:t>
      </w:r>
      <w:r w:rsidRPr="000605C6">
        <w:rPr>
          <w:rFonts w:ascii="標楷體" w:eastAsia="標楷體" w:hAnsi="標楷體" w:hint="eastAsia"/>
          <w:sz w:val="28"/>
          <w:szCs w:val="28"/>
        </w:rPr>
        <w:t>修正規定，如有疑問，可電洽農業金融局第二組承辦人施稽核秀芬，電話：（</w:t>
      </w:r>
      <w:r w:rsidRPr="000605C6">
        <w:rPr>
          <w:rFonts w:ascii="標楷體" w:eastAsia="標楷體" w:hAnsi="標楷體"/>
          <w:sz w:val="28"/>
          <w:szCs w:val="28"/>
        </w:rPr>
        <w:t>02</w:t>
      </w:r>
      <w:r w:rsidRPr="000605C6">
        <w:rPr>
          <w:rFonts w:ascii="標楷體" w:eastAsia="標楷體" w:hAnsi="標楷體" w:hint="eastAsia"/>
          <w:sz w:val="28"/>
          <w:szCs w:val="28"/>
        </w:rPr>
        <w:t>）</w:t>
      </w:r>
      <w:r w:rsidRPr="000605C6">
        <w:rPr>
          <w:rFonts w:ascii="標楷體" w:eastAsia="標楷體" w:hAnsi="標楷體"/>
          <w:sz w:val="28"/>
          <w:szCs w:val="28"/>
        </w:rPr>
        <w:t>3393-5845</w:t>
      </w:r>
      <w:r w:rsidRPr="000605C6">
        <w:rPr>
          <w:rFonts w:ascii="標楷體" w:eastAsia="標楷體" w:hAnsi="標楷體" w:hint="eastAsia"/>
          <w:sz w:val="28"/>
          <w:szCs w:val="28"/>
        </w:rPr>
        <w:t>，或洽全國農業金庫輔導員協助。</w:t>
      </w:r>
      <w:r>
        <w:rPr>
          <w:rFonts w:ascii="標楷體" w:eastAsia="標楷體" w:hAnsi="標楷體"/>
          <w:b/>
          <w:sz w:val="40"/>
          <w:szCs w:val="40"/>
        </w:rPr>
        <w:t xml:space="preserve">                                  </w:t>
      </w:r>
    </w:p>
    <w:sectPr w:rsidR="00C73D15" w:rsidRPr="00B95241" w:rsidSect="00282E56">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606" w:rsidRDefault="00CF0606" w:rsidP="008A112E">
      <w:pPr>
        <w:spacing w:line="240" w:lineRule="auto"/>
      </w:pPr>
      <w:r>
        <w:separator/>
      </w:r>
    </w:p>
  </w:endnote>
  <w:endnote w:type="continuationSeparator" w:id="1">
    <w:p w:rsidR="00CF0606" w:rsidRDefault="00CF0606" w:rsidP="008A11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5" w:rsidRPr="003E5CCA" w:rsidRDefault="00C73D15" w:rsidP="003E5CCA">
    <w:pPr>
      <w:pStyle w:val="a5"/>
      <w:jc w:val="center"/>
      <w:rPr>
        <w:rFonts w:ascii="標楷體" w:eastAsia="標楷體" w:hAnsi="標楷體"/>
      </w:rPr>
    </w:pPr>
    <w:r w:rsidRPr="003E5CCA">
      <w:rPr>
        <w:rFonts w:ascii="標楷體" w:eastAsia="標楷體" w:hAnsi="標楷體" w:hint="eastAsia"/>
      </w:rPr>
      <w:t>第</w:t>
    </w:r>
    <w:r w:rsidR="00927967" w:rsidRPr="003E5CCA">
      <w:rPr>
        <w:rFonts w:ascii="標楷體" w:eastAsia="標楷體" w:hAnsi="標楷體"/>
      </w:rPr>
      <w:fldChar w:fldCharType="begin"/>
    </w:r>
    <w:r w:rsidRPr="003E5CCA">
      <w:rPr>
        <w:rFonts w:ascii="標楷體" w:eastAsia="標楷體" w:hAnsi="標楷體"/>
      </w:rPr>
      <w:instrText xml:space="preserve"> PAGE   \* MERGEFORMAT </w:instrText>
    </w:r>
    <w:r w:rsidR="00927967" w:rsidRPr="003E5CCA">
      <w:rPr>
        <w:rFonts w:ascii="標楷體" w:eastAsia="標楷體" w:hAnsi="標楷體"/>
      </w:rPr>
      <w:fldChar w:fldCharType="separate"/>
    </w:r>
    <w:r w:rsidR="002A2B62" w:rsidRPr="002A2B62">
      <w:rPr>
        <w:rFonts w:ascii="標楷體" w:eastAsia="標楷體" w:hAnsi="標楷體"/>
        <w:noProof/>
        <w:lang w:val="zh-TW"/>
      </w:rPr>
      <w:t>2</w:t>
    </w:r>
    <w:r w:rsidR="00927967" w:rsidRPr="003E5CCA">
      <w:rPr>
        <w:rFonts w:ascii="標楷體" w:eastAsia="標楷體" w:hAnsi="標楷體"/>
      </w:rPr>
      <w:fldChar w:fldCharType="end"/>
    </w:r>
    <w:r w:rsidRPr="003E5CCA">
      <w:rPr>
        <w:rFonts w:ascii="標楷體" w:eastAsia="標楷體" w:hAnsi="標楷體" w:hint="eastAsia"/>
      </w:rPr>
      <w:t>頁</w:t>
    </w:r>
    <w:r>
      <w:rPr>
        <w:rFonts w:ascii="標楷體" w:eastAsia="標楷體" w:hAnsi="標楷體" w:hint="eastAsia"/>
      </w:rPr>
      <w:t>，共</w:t>
    </w:r>
    <w:r>
      <w:rPr>
        <w:rFonts w:ascii="標楷體" w:eastAsia="標楷體" w:hAnsi="標楷體"/>
      </w:rPr>
      <w:t>2</w:t>
    </w:r>
    <w:r>
      <w:rPr>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606" w:rsidRDefault="00CF0606" w:rsidP="008A112E">
      <w:pPr>
        <w:spacing w:line="240" w:lineRule="auto"/>
      </w:pPr>
      <w:r>
        <w:separator/>
      </w:r>
    </w:p>
  </w:footnote>
  <w:footnote w:type="continuationSeparator" w:id="1">
    <w:p w:rsidR="00CF0606" w:rsidRDefault="00CF0606" w:rsidP="008A11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3E6"/>
    <w:multiLevelType w:val="hybridMultilevel"/>
    <w:tmpl w:val="C114C56C"/>
    <w:lvl w:ilvl="0" w:tplc="15468494">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
    <w:nsid w:val="08F97043"/>
    <w:multiLevelType w:val="hybridMultilevel"/>
    <w:tmpl w:val="A64C3CF2"/>
    <w:lvl w:ilvl="0" w:tplc="8CEA9988">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nsid w:val="14150F3A"/>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3">
    <w:nsid w:val="401822B0"/>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4">
    <w:nsid w:val="4FC92707"/>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5">
    <w:nsid w:val="55641AC0"/>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241"/>
    <w:rsid w:val="000019E5"/>
    <w:rsid w:val="00033D59"/>
    <w:rsid w:val="000605C6"/>
    <w:rsid w:val="00073BCD"/>
    <w:rsid w:val="0009201B"/>
    <w:rsid w:val="000A7926"/>
    <w:rsid w:val="000B053E"/>
    <w:rsid w:val="000B3601"/>
    <w:rsid w:val="000B42D0"/>
    <w:rsid w:val="00101FE3"/>
    <w:rsid w:val="001839A2"/>
    <w:rsid w:val="001B766B"/>
    <w:rsid w:val="001B7C04"/>
    <w:rsid w:val="001C15AD"/>
    <w:rsid w:val="002134C7"/>
    <w:rsid w:val="0026761C"/>
    <w:rsid w:val="0027110D"/>
    <w:rsid w:val="0027659B"/>
    <w:rsid w:val="00282E56"/>
    <w:rsid w:val="00293642"/>
    <w:rsid w:val="002A2B62"/>
    <w:rsid w:val="002A5BC7"/>
    <w:rsid w:val="00307A09"/>
    <w:rsid w:val="00316D41"/>
    <w:rsid w:val="00330A61"/>
    <w:rsid w:val="00332931"/>
    <w:rsid w:val="00333C15"/>
    <w:rsid w:val="00354823"/>
    <w:rsid w:val="00362475"/>
    <w:rsid w:val="00390D86"/>
    <w:rsid w:val="0039324E"/>
    <w:rsid w:val="003C3AB7"/>
    <w:rsid w:val="003C6EF3"/>
    <w:rsid w:val="003D3507"/>
    <w:rsid w:val="003E432A"/>
    <w:rsid w:val="003E5CCA"/>
    <w:rsid w:val="003E69E1"/>
    <w:rsid w:val="0041355B"/>
    <w:rsid w:val="004165A6"/>
    <w:rsid w:val="004243AA"/>
    <w:rsid w:val="0048367E"/>
    <w:rsid w:val="0049045C"/>
    <w:rsid w:val="00497583"/>
    <w:rsid w:val="004D2FCA"/>
    <w:rsid w:val="00535DA9"/>
    <w:rsid w:val="005522D2"/>
    <w:rsid w:val="00581465"/>
    <w:rsid w:val="005B7669"/>
    <w:rsid w:val="005C246D"/>
    <w:rsid w:val="005D1F41"/>
    <w:rsid w:val="005E7153"/>
    <w:rsid w:val="005F191A"/>
    <w:rsid w:val="005F7909"/>
    <w:rsid w:val="00621763"/>
    <w:rsid w:val="006454CA"/>
    <w:rsid w:val="00686059"/>
    <w:rsid w:val="006A3F2D"/>
    <w:rsid w:val="006B0882"/>
    <w:rsid w:val="006F0AA8"/>
    <w:rsid w:val="006F667B"/>
    <w:rsid w:val="00762EDF"/>
    <w:rsid w:val="007A5642"/>
    <w:rsid w:val="007F7AF8"/>
    <w:rsid w:val="00806F5D"/>
    <w:rsid w:val="00813C2A"/>
    <w:rsid w:val="0083351B"/>
    <w:rsid w:val="00844814"/>
    <w:rsid w:val="00853F24"/>
    <w:rsid w:val="00881784"/>
    <w:rsid w:val="008834ED"/>
    <w:rsid w:val="00890360"/>
    <w:rsid w:val="008A112E"/>
    <w:rsid w:val="008C0703"/>
    <w:rsid w:val="008D4D99"/>
    <w:rsid w:val="008D589B"/>
    <w:rsid w:val="008F21AB"/>
    <w:rsid w:val="00927967"/>
    <w:rsid w:val="00946949"/>
    <w:rsid w:val="009606CA"/>
    <w:rsid w:val="00987869"/>
    <w:rsid w:val="00992B5C"/>
    <w:rsid w:val="00995C02"/>
    <w:rsid w:val="009A1D10"/>
    <w:rsid w:val="009B1889"/>
    <w:rsid w:val="00A10BAF"/>
    <w:rsid w:val="00A2633D"/>
    <w:rsid w:val="00A32DA6"/>
    <w:rsid w:val="00A62A93"/>
    <w:rsid w:val="00A640B6"/>
    <w:rsid w:val="00A7019B"/>
    <w:rsid w:val="00A93776"/>
    <w:rsid w:val="00A9785E"/>
    <w:rsid w:val="00AB0632"/>
    <w:rsid w:val="00AD2BFB"/>
    <w:rsid w:val="00AD3E6E"/>
    <w:rsid w:val="00AE64AF"/>
    <w:rsid w:val="00AE790A"/>
    <w:rsid w:val="00AF66A9"/>
    <w:rsid w:val="00B14305"/>
    <w:rsid w:val="00B17ED5"/>
    <w:rsid w:val="00B84CE6"/>
    <w:rsid w:val="00B95241"/>
    <w:rsid w:val="00BC3879"/>
    <w:rsid w:val="00BD2F3A"/>
    <w:rsid w:val="00BF5093"/>
    <w:rsid w:val="00BF5D61"/>
    <w:rsid w:val="00BF7077"/>
    <w:rsid w:val="00C00A15"/>
    <w:rsid w:val="00C24DBF"/>
    <w:rsid w:val="00C33B35"/>
    <w:rsid w:val="00C33C86"/>
    <w:rsid w:val="00C71C7B"/>
    <w:rsid w:val="00C73D15"/>
    <w:rsid w:val="00CC52A3"/>
    <w:rsid w:val="00CD1492"/>
    <w:rsid w:val="00CD5B9E"/>
    <w:rsid w:val="00CF0606"/>
    <w:rsid w:val="00CF1E03"/>
    <w:rsid w:val="00D12C4C"/>
    <w:rsid w:val="00D13BA1"/>
    <w:rsid w:val="00D168DF"/>
    <w:rsid w:val="00D4227E"/>
    <w:rsid w:val="00D6092F"/>
    <w:rsid w:val="00D777BB"/>
    <w:rsid w:val="00DB608E"/>
    <w:rsid w:val="00DC2413"/>
    <w:rsid w:val="00DE6DDA"/>
    <w:rsid w:val="00E10F00"/>
    <w:rsid w:val="00E45998"/>
    <w:rsid w:val="00E57695"/>
    <w:rsid w:val="00E67B19"/>
    <w:rsid w:val="00E76C85"/>
    <w:rsid w:val="00E80F3F"/>
    <w:rsid w:val="00E86AD9"/>
    <w:rsid w:val="00E86F4C"/>
    <w:rsid w:val="00EC1BFE"/>
    <w:rsid w:val="00ED4C43"/>
    <w:rsid w:val="00F158FE"/>
    <w:rsid w:val="00F423CB"/>
    <w:rsid w:val="00F472E0"/>
    <w:rsid w:val="00F650FB"/>
    <w:rsid w:val="00F826D0"/>
    <w:rsid w:val="00F92868"/>
    <w:rsid w:val="00FC0C1E"/>
    <w:rsid w:val="00FE0ACA"/>
    <w:rsid w:val="00FE3BE3"/>
    <w:rsid w:val="00FE6399"/>
    <w:rsid w:val="00FF0A1B"/>
    <w:rsid w:val="00FF19C9"/>
    <w:rsid w:val="00FF1C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10"/>
    <w:pPr>
      <w:widowControl w:val="0"/>
      <w:spacing w:line="4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112E"/>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A112E"/>
    <w:rPr>
      <w:rFonts w:cs="Times New Roman"/>
      <w:sz w:val="20"/>
      <w:szCs w:val="20"/>
    </w:rPr>
  </w:style>
  <w:style w:type="paragraph" w:styleId="a5">
    <w:name w:val="footer"/>
    <w:basedOn w:val="a"/>
    <w:link w:val="a6"/>
    <w:uiPriority w:val="99"/>
    <w:semiHidden/>
    <w:rsid w:val="008A112E"/>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A112E"/>
    <w:rPr>
      <w:rFonts w:cs="Times New Roman"/>
      <w:sz w:val="20"/>
      <w:szCs w:val="20"/>
    </w:rPr>
  </w:style>
  <w:style w:type="paragraph" w:styleId="a7">
    <w:name w:val="List Paragraph"/>
    <w:basedOn w:val="a"/>
    <w:uiPriority w:val="99"/>
    <w:qFormat/>
    <w:rsid w:val="00F826D0"/>
    <w:pPr>
      <w:ind w:leftChars="200" w:left="480"/>
    </w:pPr>
  </w:style>
  <w:style w:type="table" w:styleId="a8">
    <w:name w:val="Table Grid"/>
    <w:basedOn w:val="a1"/>
    <w:uiPriority w:val="99"/>
    <w:rsid w:val="00D4227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101FE3"/>
    <w:pPr>
      <w:spacing w:line="240" w:lineRule="auto"/>
    </w:pPr>
    <w:rPr>
      <w:rFonts w:ascii="Cambria" w:hAnsi="Cambria"/>
      <w:sz w:val="18"/>
      <w:szCs w:val="18"/>
    </w:rPr>
  </w:style>
  <w:style w:type="character" w:customStyle="1" w:styleId="aa">
    <w:name w:val="註解方塊文字 字元"/>
    <w:basedOn w:val="a0"/>
    <w:link w:val="a9"/>
    <w:uiPriority w:val="99"/>
    <w:semiHidden/>
    <w:locked/>
    <w:rsid w:val="00101FE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Company>Hewlett-Packard Company</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「農會漁會信用部資產評估損失準備提列及逾期放款催收款呆帳處理辦法」（以下簡稱呆帳處理辦法）修正條文問與答</dc:title>
  <dc:creator>rau</dc:creator>
  <cp:lastModifiedBy>ying</cp:lastModifiedBy>
  <cp:revision>2</cp:revision>
  <cp:lastPrinted>2014-12-15T06:45:00Z</cp:lastPrinted>
  <dcterms:created xsi:type="dcterms:W3CDTF">2015-01-05T09:17:00Z</dcterms:created>
  <dcterms:modified xsi:type="dcterms:W3CDTF">2015-01-05T09:17:00Z</dcterms:modified>
</cp:coreProperties>
</file>