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94" w:rsidRPr="00D05494" w:rsidRDefault="00D05494" w:rsidP="00D05494">
      <w:pPr>
        <w:spacing w:line="560" w:lineRule="exact"/>
        <w:jc w:val="center"/>
        <w:rPr>
          <w:rFonts w:ascii="標楷體" w:eastAsia="標楷體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D05494">
        <w:rPr>
          <w:rFonts w:ascii="標楷體" w:eastAsia="標楷體" w:hAnsi="Times New Roman" w:cs="Times New Roman" w:hint="eastAsia"/>
          <w:color w:val="000000" w:themeColor="text1"/>
          <w:spacing w:val="-4"/>
          <w:sz w:val="32"/>
          <w:szCs w:val="32"/>
        </w:rPr>
        <w:t>信用部淨值占風險性資產比率計算表</w:t>
      </w:r>
      <w:r w:rsidRPr="00D05494">
        <w:rPr>
          <w:rFonts w:ascii="標楷體" w:eastAsia="標楷體" w:hAnsi="Times New Roman" w:cs="Times New Roman" w:hint="eastAsia"/>
          <w:color w:val="000000" w:themeColor="text1"/>
          <w:sz w:val="32"/>
          <w:szCs w:val="32"/>
        </w:rPr>
        <w:t>（附表二）</w:t>
      </w:r>
    </w:p>
    <w:p w:rsidR="00D05494" w:rsidRPr="00D05494" w:rsidRDefault="00D05494" w:rsidP="00D05494">
      <w:pPr>
        <w:spacing w:line="560" w:lineRule="exact"/>
        <w:jc w:val="right"/>
        <w:rPr>
          <w:rFonts w:ascii="標楷體" w:eastAsia="標楷體" w:hAnsi="Times New Roman" w:cs="Times New Roman"/>
          <w:color w:val="000000" w:themeColor="text1"/>
          <w:sz w:val="32"/>
          <w:szCs w:val="32"/>
        </w:rPr>
      </w:pPr>
      <w:r w:rsidRPr="00D05494">
        <w:rPr>
          <w:rFonts w:ascii="標楷體" w:eastAsia="標楷體" w:hAnsi="Times New Roman" w:cs="Times New Roman" w:hint="eastAsia"/>
          <w:color w:val="000000" w:themeColor="text1"/>
          <w:sz w:val="32"/>
          <w:szCs w:val="32"/>
        </w:rPr>
        <w:t>年　　月　　日         單位：新臺幣</w:t>
      </w:r>
      <w:r w:rsidR="00E04494">
        <w:rPr>
          <w:rFonts w:ascii="標楷體" w:eastAsia="標楷體" w:hAnsi="Times New Roman" w:cs="Times New Roman" w:hint="eastAsia"/>
          <w:color w:val="000000" w:themeColor="text1"/>
          <w:sz w:val="32"/>
          <w:szCs w:val="32"/>
        </w:rPr>
        <w:t>千</w:t>
      </w:r>
      <w:r w:rsidRPr="00D05494">
        <w:rPr>
          <w:rFonts w:ascii="標楷體" w:eastAsia="標楷體" w:hAnsi="Times New Roman" w:cs="Times New Roman" w:hint="eastAsia"/>
          <w:color w:val="000000" w:themeColor="text1"/>
          <w:sz w:val="32"/>
          <w:szCs w:val="32"/>
        </w:rPr>
        <w:t>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1561"/>
        <w:gridCol w:w="1559"/>
        <w:gridCol w:w="2261"/>
      </w:tblGrid>
      <w:tr w:rsidR="00D05494" w:rsidRPr="00D05494" w:rsidTr="0065087B">
        <w:tc>
          <w:tcPr>
            <w:tcW w:w="1935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項目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風險權數</w:t>
            </w:r>
          </w:p>
        </w:tc>
        <w:tc>
          <w:tcPr>
            <w:tcW w:w="888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帳面金額</w:t>
            </w:r>
          </w:p>
        </w:tc>
        <w:tc>
          <w:tcPr>
            <w:tcW w:w="1288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風險性資產</w:t>
            </w:r>
            <w:r w:rsidR="0065087B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額</w:t>
            </w: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1.現金</w:t>
            </w:r>
          </w:p>
        </w:tc>
        <w:tc>
          <w:tcPr>
            <w:tcW w:w="889" w:type="pct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74327">
            <w:pPr>
              <w:spacing w:line="560" w:lineRule="exact"/>
              <w:ind w:left="352" w:hangingChars="110" w:hanging="352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2.對本國中央政府及中央銀行之債權或經其保證之債權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D05494" w:rsidRPr="00D05494" w:rsidRDefault="00D05494" w:rsidP="00F90AF1">
            <w:pPr>
              <w:spacing w:line="560" w:lineRule="exact"/>
              <w:ind w:leftChars="91" w:left="746" w:hangingChars="165" w:hanging="528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(1)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買入中央政府公債</w:t>
            </w:r>
          </w:p>
          <w:p w:rsidR="00D05494" w:rsidRPr="00D05494" w:rsidRDefault="00D05494" w:rsidP="00F90AF1">
            <w:pPr>
              <w:spacing w:line="560" w:lineRule="exact"/>
              <w:ind w:leftChars="91" w:left="746" w:hangingChars="165" w:hanging="528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(2)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買入國庫券</w:t>
            </w:r>
          </w:p>
          <w:p w:rsidR="00D05494" w:rsidRPr="00D05494" w:rsidRDefault="00D05494" w:rsidP="00F90AF1">
            <w:pPr>
              <w:spacing w:line="560" w:lineRule="exact"/>
              <w:ind w:leftChars="91" w:left="746" w:hangingChars="165" w:hanging="52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(3)繳存存款準備金</w:t>
            </w:r>
          </w:p>
          <w:p w:rsidR="00D05494" w:rsidRPr="00D05494" w:rsidRDefault="00D05494" w:rsidP="00F90AF1">
            <w:pPr>
              <w:spacing w:line="560" w:lineRule="exact"/>
              <w:ind w:leftChars="90" w:left="744" w:hangingChars="165" w:hanging="52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(4)提存法院的保證金</w:t>
            </w:r>
          </w:p>
          <w:p w:rsidR="00D05494" w:rsidRPr="00D05494" w:rsidRDefault="00D05494" w:rsidP="00F90AF1">
            <w:pPr>
              <w:spacing w:line="560" w:lineRule="exact"/>
              <w:ind w:leftChars="91" w:left="746" w:hangingChars="165" w:hanging="52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(5)上列債權之應收利息</w:t>
            </w:r>
          </w:p>
          <w:p w:rsidR="00D05494" w:rsidRPr="00D05494" w:rsidRDefault="00D05494" w:rsidP="00F90AF1">
            <w:pPr>
              <w:spacing w:line="560" w:lineRule="exact"/>
              <w:ind w:leftChars="90" w:left="744" w:hangingChars="165" w:hanging="52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(6)其他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74327">
            <w:pPr>
              <w:spacing w:line="560" w:lineRule="exact"/>
              <w:ind w:left="352" w:hangingChars="110" w:hanging="35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3.以現金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、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在本會之存款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、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中央政府或中央銀行債券為擔保之債權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D05494" w:rsidRPr="00D05494" w:rsidRDefault="00D05494" w:rsidP="00BE60DC">
            <w:pPr>
              <w:spacing w:line="560" w:lineRule="exact"/>
              <w:ind w:leftChars="91" w:left="730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(1)以本會存單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、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中央銀行公債或國庫券質押之放款</w:t>
            </w:r>
          </w:p>
          <w:p w:rsidR="00D05494" w:rsidRPr="00D05494" w:rsidRDefault="00D05494" w:rsidP="00BE60DC">
            <w:pPr>
              <w:spacing w:line="560" w:lineRule="exact"/>
              <w:ind w:leftChars="90" w:left="728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(2)上列債權之應收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利息</w:t>
            </w:r>
          </w:p>
          <w:p w:rsidR="00D05494" w:rsidRPr="00D05494" w:rsidRDefault="00D05494" w:rsidP="00BE60DC">
            <w:pPr>
              <w:spacing w:line="560" w:lineRule="exact"/>
              <w:ind w:leftChars="90" w:left="728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(3)其他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74327">
            <w:pPr>
              <w:spacing w:line="560" w:lineRule="exact"/>
              <w:ind w:left="368" w:hangingChars="115" w:hanging="368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4.對本國中央政府以外各級政府之債權或其保證之債權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D05494" w:rsidRPr="00D05494" w:rsidRDefault="00D05494" w:rsidP="00BE60DC">
            <w:pPr>
              <w:spacing w:line="560" w:lineRule="exact"/>
              <w:ind w:leftChars="91" w:left="730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(1)買入各級政府公債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（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中央政府除外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）</w:t>
            </w:r>
          </w:p>
          <w:p w:rsidR="00D05494" w:rsidRPr="00D05494" w:rsidRDefault="00D05494" w:rsidP="00BE60DC">
            <w:pPr>
              <w:spacing w:line="560" w:lineRule="exact"/>
              <w:ind w:leftChars="91" w:left="730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(2)上列債權之應收利息</w:t>
            </w:r>
          </w:p>
          <w:p w:rsidR="00D05494" w:rsidRPr="00D05494" w:rsidRDefault="00D05494" w:rsidP="00BE60DC">
            <w:pPr>
              <w:spacing w:line="560" w:lineRule="exact"/>
              <w:ind w:leftChars="91" w:left="730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(3)其他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10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74327">
            <w:pPr>
              <w:spacing w:line="560" w:lineRule="exact"/>
              <w:ind w:left="368" w:hangingChars="115" w:hanging="36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5.對本國銀行及其保證之債權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D05494" w:rsidRPr="00D05494" w:rsidRDefault="00D05494" w:rsidP="0065087B">
            <w:pPr>
              <w:spacing w:line="560" w:lineRule="exact"/>
              <w:ind w:leftChars="90" w:left="696" w:hangingChars="150" w:hanging="480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(1)存放行庫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（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同時有存單質借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，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則以抵減後之淨額計算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）</w:t>
            </w:r>
          </w:p>
          <w:p w:rsidR="00D05494" w:rsidRPr="00D05494" w:rsidRDefault="00D05494" w:rsidP="0065087B">
            <w:pPr>
              <w:spacing w:line="560" w:lineRule="exact"/>
              <w:ind w:leftChars="90" w:left="696" w:hangingChars="150" w:hanging="480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(2)買入金融債券</w:t>
            </w:r>
          </w:p>
          <w:p w:rsidR="00D05494" w:rsidRPr="00D05494" w:rsidRDefault="00D05494" w:rsidP="0065087B">
            <w:pPr>
              <w:spacing w:line="560" w:lineRule="exact"/>
              <w:ind w:leftChars="90" w:left="696" w:hangingChars="150" w:hanging="480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(3)買入銀行保證之公司債券</w:t>
            </w:r>
          </w:p>
          <w:p w:rsidR="00D05494" w:rsidRPr="00D05494" w:rsidRDefault="00D05494" w:rsidP="0065087B">
            <w:pPr>
              <w:spacing w:line="560" w:lineRule="exact"/>
              <w:ind w:leftChars="90" w:left="696" w:hangingChars="150" w:hanging="480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(4)買入定期存單</w:t>
            </w:r>
          </w:p>
          <w:p w:rsidR="00D05494" w:rsidRPr="00D05494" w:rsidRDefault="00D05494" w:rsidP="0065087B">
            <w:pPr>
              <w:spacing w:line="560" w:lineRule="exact"/>
              <w:ind w:leftChars="90" w:left="696" w:hangingChars="150" w:hanging="480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(5)買入銀行承兌匯票</w:t>
            </w:r>
          </w:p>
          <w:p w:rsidR="00D05494" w:rsidRPr="00D05494" w:rsidRDefault="00D05494" w:rsidP="00BE60DC">
            <w:pPr>
              <w:spacing w:line="560" w:lineRule="exact"/>
              <w:ind w:leftChars="91" w:left="730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(6)買入銀行保證之商業本票</w:t>
            </w:r>
          </w:p>
          <w:p w:rsidR="00D05494" w:rsidRPr="00D05494" w:rsidRDefault="00D05494" w:rsidP="00BE60DC">
            <w:pPr>
              <w:spacing w:line="560" w:lineRule="exact"/>
              <w:ind w:leftChars="90" w:left="728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(7)繳交於金資中心之保證金額</w:t>
            </w:r>
          </w:p>
          <w:p w:rsidR="00D05494" w:rsidRPr="00D05494" w:rsidRDefault="00D05494" w:rsidP="00BE60DC">
            <w:pPr>
              <w:spacing w:line="560" w:lineRule="exact"/>
              <w:ind w:leftChars="90" w:left="728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(8)繳交票據交換清算基金</w:t>
            </w:r>
          </w:p>
          <w:p w:rsidR="00D05494" w:rsidRPr="00D05494" w:rsidRDefault="00D05494" w:rsidP="00BE60DC">
            <w:pPr>
              <w:spacing w:line="560" w:lineRule="exact"/>
              <w:ind w:leftChars="90" w:left="728" w:hangingChars="160" w:hanging="512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(9)上列債權之應收利息</w:t>
            </w:r>
          </w:p>
          <w:p w:rsidR="00D05494" w:rsidRPr="00D05494" w:rsidRDefault="00D05494" w:rsidP="00D05494">
            <w:pPr>
              <w:spacing w:line="560" w:lineRule="exact"/>
              <w:ind w:firstLineChars="91" w:firstLine="291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(10)其他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20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74327">
            <w:pPr>
              <w:spacing w:line="560" w:lineRule="exact"/>
              <w:ind w:left="368" w:hangingChars="115" w:hanging="36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6.住宅用不動產擔保放款及其應收利息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45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74327">
            <w:pPr>
              <w:spacing w:line="560" w:lineRule="exact"/>
              <w:ind w:left="368" w:hangingChars="115" w:hanging="36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7.</w:t>
            </w:r>
            <w:r w:rsidRPr="00D0549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32"/>
                <w:szCs w:val="32"/>
              </w:rPr>
              <w:t>單一個人擔保授信債權（指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個人歸戶授信餘額，不包括</w:t>
            </w:r>
            <w:r w:rsidRPr="00D0549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32"/>
                <w:szCs w:val="32"/>
              </w:rPr>
              <w:t>存單質借、住宅為擔保之貸款、農業信用保證基金保證之貸款、已轉列催收款項等之金額）及其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應收利息</w:t>
            </w:r>
          </w:p>
        </w:tc>
        <w:tc>
          <w:tcPr>
            <w:tcW w:w="889" w:type="pct"/>
            <w:vAlign w:val="center"/>
          </w:tcPr>
          <w:p w:rsidR="00D05494" w:rsidRPr="00D05494" w:rsidRDefault="00D05494" w:rsidP="00BE60DC">
            <w:pPr>
              <w:kinsoku w:val="0"/>
              <w:overflowPunct w:val="0"/>
              <w:autoSpaceDE w:val="0"/>
              <w:autoSpaceDN w:val="0"/>
              <w:spacing w:line="560" w:lineRule="exact"/>
              <w:ind w:left="320" w:hangingChars="100" w:hanging="320"/>
              <w:rPr>
                <w:rFonts w:ascii="標楷體" w:eastAsia="標楷體" w:hAnsi="標楷體" w:cs="細明體"/>
                <w:color w:val="000000" w:themeColor="text1"/>
                <w:kern w:val="0"/>
                <w:sz w:val="32"/>
                <w:szCs w:val="32"/>
              </w:rPr>
            </w:pPr>
            <w:r w:rsidRPr="00D0549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32"/>
                <w:szCs w:val="32"/>
              </w:rPr>
              <w:t>1.以200萬元為區分，200萬元以下，適用75％，超過200萬元則全部適用100％</w:t>
            </w:r>
          </w:p>
          <w:p w:rsidR="00D05494" w:rsidRPr="00D05494" w:rsidRDefault="00D05494" w:rsidP="00BE60DC">
            <w:pPr>
              <w:kinsoku w:val="0"/>
              <w:overflowPunct w:val="0"/>
              <w:autoSpaceDE w:val="0"/>
              <w:autoSpaceDN w:val="0"/>
              <w:spacing w:line="560" w:lineRule="exact"/>
              <w:ind w:left="320" w:hangingChars="100" w:hanging="320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32"/>
                <w:szCs w:val="32"/>
              </w:rPr>
              <w:t>2.上列債權應收利息之</w:t>
            </w:r>
            <w:r w:rsidRPr="00D0549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32"/>
                <w:szCs w:val="32"/>
              </w:rPr>
              <w:lastRenderedPageBreak/>
              <w:t>風險權數依該本金適用之風險權數為之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05494">
            <w:pPr>
              <w:spacing w:line="560" w:lineRule="exact"/>
              <w:ind w:leftChars="1" w:left="290" w:hangingChars="90" w:hanging="288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lastRenderedPageBreak/>
              <w:t>8.上列以外依規定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，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風險權數未達100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之資產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（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填列本項時請註明各種資產名稱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、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金額及風險權數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889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05494">
            <w:pPr>
              <w:spacing w:line="560" w:lineRule="exact"/>
              <w:ind w:left="291" w:hangingChars="91" w:hanging="291"/>
              <w:jc w:val="both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9.上列以外之債權及其他資產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（</w:t>
            </w: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以扣除累計折舊後之淨額計算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D05494" w:rsidRPr="00D05494" w:rsidRDefault="00D05494" w:rsidP="00D05494">
            <w:pPr>
              <w:spacing w:line="560" w:lineRule="exact"/>
              <w:jc w:val="center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100</w:t>
            </w:r>
            <w:r w:rsidRPr="00D05494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％</w:t>
            </w: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05494" w:rsidRPr="00D05494" w:rsidTr="0065087B">
        <w:tc>
          <w:tcPr>
            <w:tcW w:w="1935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05494">
              <w:rPr>
                <w:rFonts w:ascii="標楷體" w:eastAsia="標楷體" w:hAnsi="Times New Roman" w:cs="Times New Roman" w:hint="eastAsia"/>
                <w:color w:val="000000" w:themeColor="text1"/>
                <w:sz w:val="32"/>
                <w:szCs w:val="32"/>
              </w:rPr>
              <w:t>合計</w:t>
            </w:r>
          </w:p>
        </w:tc>
        <w:tc>
          <w:tcPr>
            <w:tcW w:w="889" w:type="pct"/>
            <w:tcBorders>
              <w:tl2br w:val="single" w:sz="4" w:space="0" w:color="auto"/>
            </w:tcBorders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88" w:type="pct"/>
          </w:tcPr>
          <w:p w:rsidR="00D05494" w:rsidRPr="00D05494" w:rsidRDefault="00D05494" w:rsidP="00D05494">
            <w:pPr>
              <w:spacing w:line="560" w:lineRule="exact"/>
              <w:rPr>
                <w:rFonts w:ascii="標楷體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D05494" w:rsidRPr="00D05494" w:rsidRDefault="00D05494" w:rsidP="00D05494">
      <w:pPr>
        <w:spacing w:line="560" w:lineRule="exact"/>
        <w:rPr>
          <w:sz w:val="32"/>
          <w:szCs w:val="32"/>
        </w:rPr>
      </w:pPr>
    </w:p>
    <w:sectPr w:rsidR="00D05494" w:rsidRPr="00D05494" w:rsidSect="00D05494">
      <w:footerReference w:type="default" r:id="rId6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94" w:rsidRDefault="00D05494" w:rsidP="00D05494">
      <w:r>
        <w:separator/>
      </w:r>
    </w:p>
  </w:endnote>
  <w:endnote w:type="continuationSeparator" w:id="0">
    <w:p w:rsidR="00D05494" w:rsidRDefault="00D05494" w:rsidP="00D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533206"/>
      <w:docPartObj>
        <w:docPartGallery w:val="Page Numbers (Bottom of Page)"/>
        <w:docPartUnique/>
      </w:docPartObj>
    </w:sdtPr>
    <w:sdtEndPr/>
    <w:sdtContent>
      <w:p w:rsidR="00D05494" w:rsidRDefault="00D054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65" w:rsidRPr="00E86765">
          <w:rPr>
            <w:noProof/>
            <w:lang w:val="zh-TW"/>
          </w:rPr>
          <w:t>4</w:t>
        </w:r>
        <w:r>
          <w:fldChar w:fldCharType="end"/>
        </w:r>
      </w:p>
    </w:sdtContent>
  </w:sdt>
  <w:p w:rsidR="00D05494" w:rsidRDefault="00D054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94" w:rsidRDefault="00D05494" w:rsidP="00D05494">
      <w:r>
        <w:separator/>
      </w:r>
    </w:p>
  </w:footnote>
  <w:footnote w:type="continuationSeparator" w:id="0">
    <w:p w:rsidR="00D05494" w:rsidRDefault="00D05494" w:rsidP="00D0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94"/>
    <w:rsid w:val="002D7CFB"/>
    <w:rsid w:val="0065087B"/>
    <w:rsid w:val="006700CA"/>
    <w:rsid w:val="0098178C"/>
    <w:rsid w:val="00BE60DC"/>
    <w:rsid w:val="00CA61B0"/>
    <w:rsid w:val="00CB2EA9"/>
    <w:rsid w:val="00D05494"/>
    <w:rsid w:val="00D74327"/>
    <w:rsid w:val="00D97835"/>
    <w:rsid w:val="00E04494"/>
    <w:rsid w:val="00E86765"/>
    <w:rsid w:val="00F66415"/>
    <w:rsid w:val="00F9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F36D3DB-AB54-484C-AFDB-A4DCA67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54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54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54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張麗娟</dc:creator>
  <cp:keywords/>
  <dc:description/>
  <cp:lastModifiedBy>張麗娟</cp:lastModifiedBy>
  <cp:revision>2</cp:revision>
  <dcterms:created xsi:type="dcterms:W3CDTF">2021-04-29T00:16:00Z</dcterms:created>
  <dcterms:modified xsi:type="dcterms:W3CDTF">2021-04-29T00:16:00Z</dcterms:modified>
</cp:coreProperties>
</file>